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20" w:lineRule="exact"/>
        <w:jc w:val="center"/>
        <w:rPr>
          <w:rFonts w:ascii="仿宋" w:hAnsi="仿宋" w:eastAsia="仿宋"/>
          <w:sz w:val="32"/>
          <w:szCs w:val="32"/>
        </w:rPr>
      </w:pPr>
      <w:r>
        <w:rPr>
          <w:rFonts w:hint="eastAsia" w:asciiTheme="majorEastAsia" w:hAnsiTheme="majorEastAsia" w:eastAsiaTheme="majorEastAsia"/>
          <w:b/>
          <w:sz w:val="32"/>
          <w:szCs w:val="32"/>
        </w:rPr>
        <w:t>拟购</w:t>
      </w:r>
      <w:r>
        <w:rPr>
          <w:rFonts w:hint="eastAsia" w:asciiTheme="majorEastAsia" w:hAnsiTheme="majorEastAsia" w:eastAsiaTheme="majorEastAsia"/>
          <w:b/>
          <w:sz w:val="32"/>
          <w:szCs w:val="32"/>
          <w:u w:val="single"/>
          <w:lang w:val="en-US" w:eastAsia="zh-CN"/>
        </w:rPr>
        <w:t>医用绝缘检测仪</w:t>
      </w:r>
      <w:r>
        <w:rPr>
          <w:rFonts w:hint="eastAsia" w:asciiTheme="majorEastAsia" w:hAnsiTheme="majorEastAsia" w:eastAsiaTheme="majorEastAsia"/>
          <w:b/>
          <w:sz w:val="32"/>
          <w:szCs w:val="32"/>
        </w:rPr>
        <w:t>项目初步论证征集意见表</w:t>
      </w:r>
    </w:p>
    <w:p>
      <w:pPr>
        <w:spacing w:line="320" w:lineRule="exact"/>
        <w:rPr>
          <w:rFonts w:ascii="仿宋" w:hAnsi="仿宋" w:eastAsia="仿宋"/>
          <w:sz w:val="24"/>
          <w:szCs w:val="24"/>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 w:hAnsi="仿宋" w:eastAsia="仿宋"/>
          <w:szCs w:val="21"/>
          <w:u w:val="single"/>
        </w:rPr>
      </w:pPr>
      <w:r>
        <w:rPr>
          <w:rFonts w:hint="eastAsia" w:ascii="仿宋" w:hAnsi="仿宋" w:eastAsia="仿宋"/>
          <w:szCs w:val="21"/>
        </w:rPr>
        <w:t>供应商、联系人及电话（加盖公章）：</w:t>
      </w:r>
      <w:r>
        <w:rPr>
          <w:rFonts w:hint="eastAsia" w:ascii="仿宋" w:hAnsi="仿宋" w:eastAsia="仿宋"/>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 w:hAnsi="仿宋" w:eastAsia="仿宋"/>
          <w:szCs w:val="21"/>
          <w:u w:val="single"/>
        </w:rPr>
      </w:pPr>
      <w:r>
        <w:rPr>
          <w:rFonts w:hint="eastAsia" w:ascii="仿宋" w:hAnsi="仿宋" w:eastAsia="仿宋"/>
          <w:szCs w:val="21"/>
        </w:rPr>
        <w:t>产品品牌、规格型号、产地、医疗器械注册证号及</w:t>
      </w:r>
      <w:r>
        <w:rPr>
          <w:rFonts w:hint="eastAsia" w:ascii="仿宋" w:hAnsi="仿宋" w:eastAsia="仿宋"/>
          <w:b w:val="0"/>
          <w:bCs w:val="0"/>
          <w:szCs w:val="21"/>
        </w:rPr>
        <w:t>最低报价</w:t>
      </w:r>
      <w:r>
        <w:rPr>
          <w:rFonts w:hint="eastAsia" w:ascii="仿宋" w:hAnsi="仿宋" w:eastAsia="仿宋"/>
          <w:szCs w:val="21"/>
        </w:rPr>
        <w:t>：</w:t>
      </w:r>
      <w:r>
        <w:rPr>
          <w:rFonts w:hint="eastAsia" w:ascii="仿宋" w:hAnsi="仿宋" w:eastAsia="仿宋"/>
          <w:szCs w:val="21"/>
          <w:u w:val="single"/>
        </w:rPr>
        <w:t xml:space="preserve">                                 </w:t>
      </w:r>
    </w:p>
    <w:p>
      <w:pPr>
        <w:keepNext w:val="0"/>
        <w:keepLines w:val="0"/>
        <w:pageBreakBefore w:val="0"/>
        <w:widowControl w:val="0"/>
        <w:kinsoku/>
        <w:wordWrap/>
        <w:overflowPunct/>
        <w:topLinePunct w:val="0"/>
        <w:autoSpaceDE/>
        <w:autoSpaceDN/>
        <w:bidi w:val="0"/>
        <w:adjustRightInd/>
        <w:snapToGrid/>
        <w:spacing w:line="300" w:lineRule="exact"/>
        <w:ind w:firstLine="422" w:firstLineChars="200"/>
        <w:textAlignment w:val="auto"/>
        <w:rPr>
          <w:rFonts w:hint="eastAsia" w:ascii="仿宋" w:hAnsi="仿宋" w:eastAsia="仿宋"/>
          <w:b/>
          <w:szCs w:val="21"/>
        </w:rPr>
      </w:pPr>
      <w:r>
        <w:rPr>
          <w:rFonts w:hint="eastAsia" w:ascii="仿宋" w:hAnsi="仿宋" w:eastAsia="仿宋"/>
          <w:b/>
          <w:szCs w:val="21"/>
        </w:rPr>
        <w:t>备注：</w:t>
      </w:r>
    </w:p>
    <w:p>
      <w:pPr>
        <w:keepNext w:val="0"/>
        <w:keepLines w:val="0"/>
        <w:pageBreakBefore w:val="0"/>
        <w:widowControl w:val="0"/>
        <w:kinsoku/>
        <w:wordWrap/>
        <w:overflowPunct/>
        <w:topLinePunct w:val="0"/>
        <w:autoSpaceDE/>
        <w:autoSpaceDN/>
        <w:bidi w:val="0"/>
        <w:adjustRightInd/>
        <w:snapToGrid/>
        <w:spacing w:line="300" w:lineRule="exact"/>
        <w:ind w:firstLine="420" w:firstLineChars="200"/>
        <w:textAlignment w:val="auto"/>
        <w:rPr>
          <w:rFonts w:ascii="仿宋" w:hAnsi="仿宋" w:eastAsia="仿宋"/>
          <w:szCs w:val="21"/>
        </w:rPr>
      </w:pPr>
      <w:r>
        <w:rPr>
          <w:rFonts w:hint="eastAsia" w:ascii="仿宋" w:hAnsi="仿宋" w:eastAsia="仿宋"/>
          <w:szCs w:val="21"/>
        </w:rPr>
        <w:t>1、按要求格式填写并每页加盖报名供应商公章【电子章无效】，在规定时间内以</w:t>
      </w:r>
      <w:r>
        <w:rPr>
          <w:rFonts w:hint="eastAsia" w:ascii="仿宋" w:hAnsi="仿宋" w:eastAsia="仿宋"/>
          <w:b/>
          <w:szCs w:val="21"/>
        </w:rPr>
        <w:t>原件扫描件和电子版形式</w:t>
      </w:r>
      <w:r>
        <w:rPr>
          <w:rFonts w:hint="eastAsia" w:ascii="仿宋" w:hAnsi="仿宋" w:eastAsia="仿宋"/>
          <w:szCs w:val="21"/>
        </w:rPr>
        <w:t>发送至医院指定邮箱（</w:t>
      </w:r>
      <w:r>
        <w:rPr>
          <w:rFonts w:hint="eastAsia" w:ascii="仿宋" w:hAnsi="仿宋" w:eastAsia="仿宋"/>
          <w:szCs w:val="21"/>
          <w:u w:val="single"/>
        </w:rPr>
        <w:t>归口科室</w:t>
      </w:r>
      <w:r>
        <w:rPr>
          <w:rFonts w:hint="eastAsia" w:ascii="仿宋" w:hAnsi="仿宋" w:eastAsia="仿宋"/>
          <w:szCs w:val="21"/>
          <w:lang w:val="en-US" w:eastAsia="zh-CN"/>
        </w:rPr>
        <w:t>综合</w:t>
      </w:r>
      <w:r>
        <w:rPr>
          <w:rFonts w:hint="eastAsia" w:ascii="仿宋" w:hAnsi="仿宋" w:eastAsia="仿宋"/>
          <w:szCs w:val="21"/>
        </w:rPr>
        <w:t>科</w:t>
      </w:r>
      <w:r>
        <w:rPr>
          <w:rFonts w:hint="eastAsia" w:ascii="仿宋" w:hAnsi="仿宋" w:eastAsia="仿宋"/>
          <w:szCs w:val="21"/>
          <w:lang w:eastAsia="zh-CN"/>
        </w:rPr>
        <w:t>：</w:t>
      </w:r>
      <w:r>
        <w:rPr>
          <w:rFonts w:hint="eastAsia" w:ascii="仿宋" w:hAnsi="仿宋" w:eastAsia="仿宋"/>
          <w:szCs w:val="21"/>
          <w:lang w:val="en-US" w:eastAsia="zh-CN"/>
        </w:rPr>
        <w:t>1643708780</w:t>
      </w:r>
      <w:r>
        <w:rPr>
          <w:rFonts w:hint="eastAsia" w:ascii="仿宋" w:hAnsi="仿宋" w:eastAsia="仿宋"/>
          <w:szCs w:val="21"/>
        </w:rPr>
        <w:t>@qq.com）；</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20" w:firstLineChars="200"/>
        <w:textAlignment w:val="auto"/>
        <w:rPr>
          <w:rFonts w:hint="eastAsia" w:ascii="仿宋" w:hAnsi="仿宋" w:eastAsia="仿宋"/>
          <w:b/>
          <w:szCs w:val="21"/>
          <w:u w:val="single"/>
        </w:rPr>
      </w:pPr>
      <w:r>
        <w:rPr>
          <w:rFonts w:hint="eastAsia" w:ascii="仿宋" w:hAnsi="仿宋" w:eastAsia="仿宋"/>
          <w:szCs w:val="21"/>
          <w:lang w:val="en-US" w:eastAsia="zh-CN"/>
        </w:rPr>
        <w:t>2、</w:t>
      </w:r>
      <w:r>
        <w:rPr>
          <w:rFonts w:hint="eastAsia" w:ascii="仿宋" w:hAnsi="仿宋" w:eastAsia="仿宋"/>
          <w:szCs w:val="21"/>
        </w:rPr>
        <w:t>响应情况（是/否）若为否则</w:t>
      </w:r>
      <w:r>
        <w:rPr>
          <w:rFonts w:hint="eastAsia" w:ascii="仿宋" w:hAnsi="仿宋" w:eastAsia="仿宋"/>
          <w:szCs w:val="21"/>
          <w:lang w:eastAsia="zh-CN"/>
        </w:rPr>
        <w:t>须标注</w:t>
      </w:r>
      <w:r>
        <w:rPr>
          <w:rFonts w:hint="eastAsia" w:ascii="仿宋" w:hAnsi="仿宋" w:eastAsia="仿宋"/>
          <w:szCs w:val="21"/>
        </w:rPr>
        <w:t>具体建议修改</w:t>
      </w:r>
      <w:r>
        <w:rPr>
          <w:rFonts w:hint="eastAsia" w:ascii="仿宋" w:hAnsi="仿宋" w:eastAsia="仿宋"/>
          <w:szCs w:val="21"/>
          <w:lang w:eastAsia="zh-CN"/>
        </w:rPr>
        <w:t>指标（</w:t>
      </w:r>
      <w:r>
        <w:rPr>
          <w:rFonts w:hint="eastAsia" w:ascii="仿宋" w:hAnsi="仿宋" w:eastAsia="仿宋"/>
          <w:b/>
          <w:bCs/>
          <w:szCs w:val="21"/>
          <w:lang w:eastAsia="zh-CN"/>
        </w:rPr>
        <w:t>未标注则默认为响应初步参数</w:t>
      </w:r>
      <w:r>
        <w:rPr>
          <w:rFonts w:hint="eastAsia" w:ascii="仿宋" w:hAnsi="仿宋" w:eastAsia="仿宋"/>
          <w:szCs w:val="21"/>
          <w:lang w:eastAsia="zh-CN"/>
        </w:rPr>
        <w:t>）</w:t>
      </w:r>
      <w:r>
        <w:rPr>
          <w:rFonts w:hint="eastAsia" w:ascii="仿宋" w:hAnsi="仿宋" w:eastAsia="仿宋"/>
          <w:szCs w:val="21"/>
        </w:rPr>
        <w:t>，</w:t>
      </w:r>
      <w:r>
        <w:rPr>
          <w:rFonts w:hint="eastAsia" w:ascii="仿宋" w:hAnsi="仿宋" w:eastAsia="仿宋"/>
          <w:b/>
          <w:bCs/>
          <w:szCs w:val="21"/>
        </w:rPr>
        <w:t>建议修改</w:t>
      </w:r>
      <w:r>
        <w:rPr>
          <w:rFonts w:hint="eastAsia" w:ascii="仿宋" w:hAnsi="仿宋" w:eastAsia="仿宋"/>
          <w:b/>
          <w:bCs/>
          <w:szCs w:val="21"/>
          <w:lang w:eastAsia="zh-CN"/>
        </w:rPr>
        <w:t>指标</w:t>
      </w:r>
      <w:r>
        <w:rPr>
          <w:rFonts w:hint="eastAsia" w:ascii="仿宋" w:hAnsi="仿宋" w:eastAsia="仿宋"/>
          <w:b/>
          <w:bCs/>
          <w:szCs w:val="21"/>
        </w:rPr>
        <w:t>须</w:t>
      </w:r>
      <w:r>
        <w:rPr>
          <w:rFonts w:hint="eastAsia" w:ascii="仿宋" w:hAnsi="仿宋" w:eastAsia="仿宋"/>
          <w:b/>
          <w:bCs/>
          <w:szCs w:val="21"/>
          <w:lang w:eastAsia="zh-CN"/>
        </w:rPr>
        <w:t>提供相应证明材料</w:t>
      </w:r>
      <w:r>
        <w:rPr>
          <w:rFonts w:hint="eastAsia" w:ascii="仿宋" w:hAnsi="仿宋" w:eastAsia="仿宋"/>
          <w:szCs w:val="21"/>
        </w:rPr>
        <w:t>（</w:t>
      </w:r>
      <w:r>
        <w:rPr>
          <w:rFonts w:hint="eastAsia" w:ascii="仿宋" w:hAnsi="仿宋" w:eastAsia="仿宋" w:cs="仿宋"/>
          <w:b w:val="0"/>
          <w:bCs/>
          <w:szCs w:val="21"/>
          <w:lang w:eastAsia="zh-CN"/>
        </w:rPr>
        <w:t>★项</w:t>
      </w:r>
      <w:r>
        <w:rPr>
          <w:rFonts w:hint="eastAsia" w:ascii="仿宋" w:hAnsi="仿宋" w:eastAsia="仿宋"/>
          <w:szCs w:val="21"/>
          <w:lang w:eastAsia="zh-CN"/>
        </w:rPr>
        <w:t>证明材料须为政府主管部门【或</w:t>
      </w:r>
      <w:r>
        <w:rPr>
          <w:rStyle w:val="12"/>
          <w:rFonts w:hint="eastAsia" w:ascii="仿宋" w:hAnsi="仿宋" w:eastAsia="仿宋" w:cs="仿宋"/>
          <w:b w:val="0"/>
          <w:bCs/>
          <w:color w:val="auto"/>
          <w:sz w:val="21"/>
          <w:szCs w:val="21"/>
          <w:lang w:eastAsia="zh-CN"/>
        </w:rPr>
        <w:t>具备</w:t>
      </w:r>
      <w:r>
        <w:rPr>
          <w:rStyle w:val="12"/>
          <w:rFonts w:hint="eastAsia" w:ascii="仿宋" w:hAnsi="仿宋" w:eastAsia="仿宋" w:cs="仿宋"/>
          <w:b w:val="0"/>
          <w:bCs/>
          <w:color w:val="auto"/>
          <w:sz w:val="21"/>
          <w:szCs w:val="21"/>
          <w:lang w:val="en-US" w:eastAsia="zh-CN"/>
        </w:rPr>
        <w:t>CE&lt;或ISO&gt;认证】出具的</w:t>
      </w:r>
      <w:r>
        <w:rPr>
          <w:rFonts w:hint="eastAsia" w:ascii="仿宋" w:hAnsi="仿宋" w:eastAsia="仿宋"/>
          <w:szCs w:val="21"/>
          <w:lang w:eastAsia="zh-CN"/>
        </w:rPr>
        <w:t>检测报告，非</w:t>
      </w:r>
      <w:r>
        <w:rPr>
          <w:rFonts w:hint="eastAsia" w:ascii="仿宋" w:hAnsi="仿宋" w:eastAsia="仿宋" w:cs="仿宋"/>
          <w:b w:val="0"/>
          <w:bCs/>
          <w:szCs w:val="21"/>
          <w:lang w:eastAsia="zh-CN"/>
        </w:rPr>
        <w:t>★项</w:t>
      </w:r>
      <w:r>
        <w:rPr>
          <w:rFonts w:hint="eastAsia" w:ascii="仿宋" w:hAnsi="仿宋" w:eastAsia="仿宋"/>
          <w:szCs w:val="21"/>
          <w:lang w:eastAsia="zh-CN"/>
        </w:rPr>
        <w:t>证明材料可为除彩页外的其他材料，</w:t>
      </w:r>
      <w:r>
        <w:rPr>
          <w:rFonts w:hint="eastAsia" w:ascii="仿宋" w:hAnsi="仿宋" w:eastAsia="仿宋"/>
          <w:b/>
          <w:bCs/>
          <w:szCs w:val="21"/>
          <w:lang w:eastAsia="zh-CN"/>
        </w:rPr>
        <w:t>无证明材料则可不予采纳</w:t>
      </w:r>
      <w:r>
        <w:rPr>
          <w:rFonts w:hint="eastAsia" w:ascii="仿宋" w:hAnsi="仿宋" w:eastAsia="仿宋"/>
          <w:szCs w:val="21"/>
          <w:lang w:eastAsia="zh-CN"/>
        </w:rPr>
        <w:t>；建议修改意见</w:t>
      </w:r>
      <w:r>
        <w:rPr>
          <w:rFonts w:hint="eastAsia" w:ascii="仿宋" w:hAnsi="仿宋" w:eastAsia="仿宋"/>
          <w:szCs w:val="21"/>
        </w:rPr>
        <w:t>原则上须满足业界主流品牌同档次水平产品</w:t>
      </w:r>
      <w:r>
        <w:rPr>
          <w:rFonts w:hint="eastAsia" w:ascii="仿宋" w:hAnsi="仿宋" w:eastAsia="仿宋"/>
          <w:szCs w:val="21"/>
          <w:lang w:eastAsia="zh-CN"/>
        </w:rPr>
        <w:t>且不得为独家</w:t>
      </w:r>
      <w:r>
        <w:rPr>
          <w:rFonts w:hint="eastAsia" w:ascii="仿宋" w:hAnsi="仿宋" w:eastAsia="仿宋"/>
          <w:szCs w:val="21"/>
        </w:rPr>
        <w:t>），</w:t>
      </w:r>
      <w:r>
        <w:rPr>
          <w:rFonts w:hint="eastAsia" w:ascii="仿宋" w:hAnsi="仿宋" w:eastAsia="仿宋"/>
          <w:b/>
          <w:szCs w:val="21"/>
          <w:u w:val="single"/>
        </w:rPr>
        <w:t>同时务必备注本品牌本规格型号产品相对应的真实指标并标注是否为独家（供医院汇总定稿版参数时选择）；</w:t>
      </w:r>
      <w:bookmarkStart w:id="1" w:name="_GoBack"/>
      <w:bookmarkEnd w:id="1"/>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22" w:firstLineChars="200"/>
        <w:textAlignment w:val="auto"/>
        <w:rPr>
          <w:rFonts w:ascii="仿宋" w:hAnsi="仿宋" w:eastAsia="仿宋"/>
          <w:szCs w:val="21"/>
        </w:rPr>
      </w:pPr>
      <w:r>
        <w:rPr>
          <w:rFonts w:hint="eastAsia" w:ascii="仿宋" w:hAnsi="仿宋" w:eastAsia="仿宋"/>
          <w:b/>
          <w:bCs w:val="0"/>
          <w:szCs w:val="21"/>
          <w:u w:val="none"/>
          <w:lang w:val="en-US" w:eastAsia="zh-CN"/>
        </w:rPr>
        <w:t>3、</w:t>
      </w:r>
      <w:r>
        <w:rPr>
          <w:rFonts w:hint="eastAsia" w:ascii="仿宋" w:hAnsi="仿宋" w:eastAsia="仿宋"/>
          <w:b/>
          <w:bCs w:val="0"/>
          <w:szCs w:val="21"/>
          <w:u w:val="none"/>
          <w:lang w:eastAsia="zh-CN"/>
        </w:rPr>
        <w:t>杜绝两现象：</w:t>
      </w:r>
      <w:r>
        <w:rPr>
          <w:rFonts w:hint="eastAsia" w:ascii="仿宋" w:hAnsi="仿宋" w:eastAsia="仿宋"/>
          <w:b w:val="0"/>
          <w:bCs/>
          <w:szCs w:val="21"/>
          <w:u w:val="none"/>
          <w:lang w:eastAsia="zh-CN"/>
        </w:rPr>
        <w:t>一是整机保修</w:t>
      </w:r>
      <w:r>
        <w:rPr>
          <w:rFonts w:hint="eastAsia" w:ascii="仿宋" w:hAnsi="仿宋" w:eastAsia="仿宋"/>
          <w:b w:val="0"/>
          <w:bCs/>
          <w:szCs w:val="21"/>
          <w:u w:val="none"/>
          <w:lang w:val="en-US" w:eastAsia="zh-CN"/>
        </w:rPr>
        <w:t>2年，保修范围不包含须定期更换零部件，须定期更换零部件报价清单如下...；二是将须定期更换零部件变为耗材，恶意降低货物价格，提高耗材价（或直接提高耗材报价）。</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20" w:firstLineChars="200"/>
        <w:textAlignment w:val="auto"/>
        <w:rPr>
          <w:rStyle w:val="12"/>
          <w:rFonts w:hint="default" w:ascii="仿宋" w:hAnsi="仿宋" w:eastAsia="仿宋" w:cs="仿宋"/>
          <w:b w:val="0"/>
          <w:bCs/>
          <w:color w:val="auto"/>
          <w:sz w:val="21"/>
          <w:szCs w:val="21"/>
          <w:lang w:val="en-US" w:eastAsia="zh-CN"/>
        </w:rPr>
      </w:pPr>
      <w:r>
        <w:rPr>
          <w:rFonts w:hint="eastAsia" w:ascii="仿宋" w:hAnsi="仿宋" w:eastAsia="仿宋" w:cs="仿宋"/>
          <w:b w:val="0"/>
          <w:bCs/>
          <w:szCs w:val="21"/>
          <w:lang w:val="en-US" w:eastAsia="zh-CN"/>
        </w:rPr>
        <w:t>4、</w:t>
      </w:r>
      <w:r>
        <w:rPr>
          <w:rFonts w:hint="eastAsia" w:ascii="仿宋" w:hAnsi="仿宋" w:eastAsia="仿宋" w:cs="仿宋"/>
          <w:b w:val="0"/>
          <w:bCs/>
          <w:color w:val="FF0000"/>
          <w:szCs w:val="21"/>
          <w:lang w:val="en-US" w:eastAsia="zh-CN"/>
        </w:rPr>
        <w:t>拟设置为</w:t>
      </w:r>
      <w:r>
        <w:rPr>
          <w:rFonts w:hint="eastAsia" w:ascii="仿宋" w:hAnsi="仿宋" w:eastAsia="仿宋" w:cs="仿宋"/>
          <w:b w:val="0"/>
          <w:bCs/>
          <w:color w:val="auto"/>
          <w:szCs w:val="21"/>
          <w:lang w:eastAsia="zh-CN"/>
        </w:rPr>
        <w:t>★项参数</w:t>
      </w:r>
      <w:r>
        <w:rPr>
          <w:rFonts w:hint="eastAsia" w:ascii="仿宋" w:hAnsi="仿宋" w:eastAsia="仿宋" w:cs="仿宋"/>
          <w:b w:val="0"/>
          <w:bCs/>
          <w:color w:val="FF0000"/>
          <w:szCs w:val="21"/>
          <w:lang w:val="en-US" w:eastAsia="zh-CN"/>
        </w:rPr>
        <w:t>(</w:t>
      </w:r>
      <w:r>
        <w:rPr>
          <w:rFonts w:hint="eastAsia" w:ascii="仿宋" w:hAnsi="仿宋" w:eastAsia="仿宋" w:cs="仿宋"/>
          <w:b w:val="0"/>
          <w:bCs/>
          <w:color w:val="FF0000"/>
          <w:szCs w:val="21"/>
          <w:lang w:eastAsia="zh-CN"/>
        </w:rPr>
        <w:t>★项标准：</w:t>
      </w:r>
      <w:r>
        <w:rPr>
          <w:rFonts w:hint="eastAsia" w:ascii="仿宋" w:hAnsi="仿宋" w:eastAsia="仿宋" w:cs="仿宋"/>
          <w:b w:val="0"/>
          <w:bCs/>
          <w:color w:val="FF0000"/>
          <w:szCs w:val="21"/>
          <w:lang w:val="en-US" w:eastAsia="zh-CN"/>
        </w:rPr>
        <w:t>拟购设备核心参数指标</w:t>
      </w:r>
      <w:r>
        <w:rPr>
          <w:rFonts w:hint="eastAsia" w:ascii="仿宋" w:hAnsi="仿宋" w:eastAsia="仿宋" w:cs="仿宋"/>
          <w:b/>
          <w:bCs w:val="0"/>
          <w:color w:val="auto"/>
          <w:szCs w:val="21"/>
          <w:lang w:val="en-US" w:eastAsia="zh-CN"/>
        </w:rPr>
        <w:t>【如有不妥，请提出并提供权威部门证明文件，否则不予采纳】)</w:t>
      </w:r>
      <w:r>
        <w:rPr>
          <w:rFonts w:hint="eastAsia" w:ascii="仿宋" w:hAnsi="仿宋" w:eastAsia="仿宋" w:cs="仿宋"/>
          <w:b w:val="0"/>
          <w:bCs/>
          <w:szCs w:val="21"/>
          <w:lang w:eastAsia="zh-CN"/>
        </w:rPr>
        <w:t>要求投标人在投标文件中所提供的证明材料须为</w:t>
      </w:r>
      <w:r>
        <w:rPr>
          <w:rFonts w:hint="eastAsia" w:ascii="仿宋" w:hAnsi="仿宋" w:eastAsia="仿宋" w:cs="仿宋"/>
          <w:b w:val="0"/>
          <w:bCs/>
          <w:color w:val="auto"/>
          <w:sz w:val="21"/>
          <w:szCs w:val="21"/>
        </w:rPr>
        <w:t>政府主管部门</w:t>
      </w:r>
      <w:r>
        <w:rPr>
          <w:rFonts w:hint="eastAsia" w:ascii="仿宋" w:hAnsi="仿宋" w:eastAsia="仿宋" w:cs="仿宋"/>
          <w:b/>
          <w:bCs w:val="0"/>
          <w:color w:val="auto"/>
          <w:sz w:val="21"/>
          <w:szCs w:val="21"/>
          <w:lang w:eastAsia="zh-CN"/>
        </w:rPr>
        <w:t>（</w:t>
      </w:r>
      <w:r>
        <w:rPr>
          <w:rStyle w:val="12"/>
          <w:rFonts w:hint="eastAsia" w:ascii="仿宋" w:hAnsi="仿宋" w:eastAsia="仿宋" w:cs="仿宋"/>
          <w:b/>
          <w:bCs w:val="0"/>
          <w:color w:val="auto"/>
          <w:sz w:val="21"/>
          <w:szCs w:val="21"/>
          <w:lang w:eastAsia="zh-CN"/>
        </w:rPr>
        <w:t>或具备</w:t>
      </w:r>
      <w:r>
        <w:rPr>
          <w:rStyle w:val="12"/>
          <w:rFonts w:hint="eastAsia" w:ascii="仿宋" w:hAnsi="仿宋" w:eastAsia="仿宋" w:cs="仿宋"/>
          <w:b/>
          <w:bCs w:val="0"/>
          <w:color w:val="auto"/>
          <w:sz w:val="21"/>
          <w:szCs w:val="21"/>
          <w:lang w:val="en-US" w:eastAsia="zh-CN"/>
        </w:rPr>
        <w:t>CE【或ISO】认证检测报告）出具。</w:t>
      </w:r>
    </w:p>
    <w:p>
      <w:pPr>
        <w:pStyle w:val="2"/>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第一部分：拟采购项目初步参数要求：</w:t>
      </w:r>
    </w:p>
    <w:p>
      <w:pPr>
        <w:rPr>
          <w:rFonts w:hint="eastAsia" w:ascii="仿宋" w:hAnsi="仿宋" w:eastAsia="仿宋" w:cs="仿宋"/>
          <w:sz w:val="21"/>
          <w:szCs w:val="21"/>
        </w:rPr>
      </w:pPr>
      <w:r>
        <w:rPr>
          <w:rFonts w:hint="eastAsia" w:ascii="仿宋" w:hAnsi="仿宋" w:eastAsia="仿宋" w:cs="仿宋"/>
          <w:sz w:val="21"/>
          <w:szCs w:val="21"/>
        </w:rPr>
        <w:t>采购需求</w:t>
      </w:r>
      <w:bookmarkStart w:id="0" w:name="_Toc353439282"/>
      <w:r>
        <w:rPr>
          <w:rFonts w:hint="eastAsia" w:ascii="仿宋" w:hAnsi="仿宋" w:eastAsia="仿宋" w:cs="仿宋"/>
          <w:sz w:val="21"/>
          <w:szCs w:val="21"/>
        </w:rPr>
        <w:t>：</w:t>
      </w:r>
      <w:r>
        <w:rPr>
          <w:rFonts w:hint="eastAsia" w:ascii="仿宋" w:hAnsi="仿宋" w:eastAsia="仿宋" w:cs="仿宋"/>
          <w:sz w:val="21"/>
          <w:szCs w:val="21"/>
          <w:lang w:val="en-US" w:eastAsia="zh-CN"/>
        </w:rPr>
        <w:t>医用绝缘</w:t>
      </w:r>
      <w:r>
        <w:rPr>
          <w:rFonts w:hint="eastAsia" w:ascii="仿宋" w:hAnsi="仿宋" w:eastAsia="仿宋" w:cs="仿宋"/>
          <w:sz w:val="21"/>
          <w:szCs w:val="21"/>
          <w:lang w:eastAsia="zh-CN"/>
        </w:rPr>
        <w:t>检测仪</w:t>
      </w:r>
      <w:r>
        <w:rPr>
          <w:rFonts w:hint="eastAsia" w:ascii="仿宋" w:hAnsi="仿宋" w:eastAsia="仿宋" w:cs="仿宋"/>
          <w:sz w:val="21"/>
          <w:szCs w:val="21"/>
          <w:lang w:val="en-US" w:eastAsia="zh-CN"/>
        </w:rPr>
        <w:t xml:space="preserve">     数量：1台     </w:t>
      </w:r>
    </w:p>
    <w:tbl>
      <w:tblPr>
        <w:tblStyle w:val="8"/>
        <w:tblW w:w="875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46"/>
        <w:gridCol w:w="738"/>
        <w:gridCol w:w="552"/>
        <w:gridCol w:w="320"/>
        <w:gridCol w:w="64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b/>
                <w:bCs w:val="0"/>
                <w:sz w:val="21"/>
                <w:szCs w:val="21"/>
                <w:lang w:val="en-US"/>
              </w:rPr>
            </w:pPr>
            <w:r>
              <w:rPr>
                <w:rFonts w:hint="eastAsia" w:ascii="仿宋" w:hAnsi="仿宋" w:eastAsia="仿宋" w:cs="仿宋"/>
                <w:b/>
                <w:bCs w:val="0"/>
                <w:kern w:val="2"/>
                <w:sz w:val="21"/>
                <w:szCs w:val="21"/>
                <w:lang w:val="en-US" w:eastAsia="zh-CN" w:bidi="ar"/>
              </w:rPr>
              <w:t>序号</w:t>
            </w:r>
          </w:p>
        </w:tc>
        <w:tc>
          <w:tcPr>
            <w:tcW w:w="73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b/>
                <w:bCs w:val="0"/>
                <w:sz w:val="21"/>
                <w:szCs w:val="21"/>
                <w:lang w:val="en-US"/>
              </w:rPr>
            </w:pPr>
            <w:r>
              <w:rPr>
                <w:rFonts w:hint="eastAsia" w:ascii="仿宋" w:hAnsi="仿宋" w:eastAsia="仿宋" w:cs="仿宋"/>
                <w:b/>
                <w:bCs w:val="0"/>
                <w:kern w:val="2"/>
                <w:sz w:val="21"/>
                <w:szCs w:val="21"/>
                <w:lang w:val="en-US" w:eastAsia="zh-CN" w:bidi="ar"/>
              </w:rPr>
              <w:t>项目</w:t>
            </w:r>
          </w:p>
        </w:tc>
        <w:tc>
          <w:tcPr>
            <w:tcW w:w="7371"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b/>
                <w:bCs w:val="0"/>
                <w:sz w:val="21"/>
                <w:szCs w:val="21"/>
                <w:lang w:val="en-US"/>
              </w:rPr>
            </w:pPr>
            <w:r>
              <w:rPr>
                <w:rFonts w:hint="eastAsia" w:ascii="仿宋" w:hAnsi="仿宋" w:eastAsia="仿宋" w:cs="仿宋"/>
                <w:b/>
                <w:bCs w:val="0"/>
                <w:kern w:val="2"/>
                <w:sz w:val="21"/>
                <w:szCs w:val="21"/>
                <w:lang w:val="en-US" w:eastAsia="zh-CN" w:bidi="ar"/>
              </w:rPr>
              <w:t>招标要求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55"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b/>
                <w:bCs w:val="0"/>
                <w:sz w:val="21"/>
                <w:szCs w:val="21"/>
                <w:lang w:val="en-US"/>
              </w:rPr>
            </w:pPr>
            <w:r>
              <w:rPr>
                <w:rFonts w:hint="eastAsia" w:ascii="仿宋" w:hAnsi="仿宋" w:eastAsia="仿宋" w:cs="仿宋"/>
                <w:b/>
                <w:bCs w:val="0"/>
                <w:kern w:val="2"/>
                <w:sz w:val="21"/>
                <w:szCs w:val="21"/>
                <w:lang w:val="en-US" w:eastAsia="zh-CN" w:bidi="ar"/>
              </w:rPr>
              <w:t>1 总体描述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1.1</w:t>
            </w:r>
          </w:p>
        </w:tc>
        <w:tc>
          <w:tcPr>
            <w:tcW w:w="1290"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品名</w:t>
            </w:r>
          </w:p>
        </w:tc>
        <w:tc>
          <w:tcPr>
            <w:tcW w:w="6819"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医用绝缘检测仪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1.2</w:t>
            </w:r>
          </w:p>
        </w:tc>
        <w:tc>
          <w:tcPr>
            <w:tcW w:w="1290"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用途</w:t>
            </w:r>
          </w:p>
        </w:tc>
        <w:tc>
          <w:tcPr>
            <w:tcW w:w="6819"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针对电外科（手术器械、腔镜线路）等绝缘层是否良好、有无破损、是否有完整导通性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1.3</w:t>
            </w:r>
          </w:p>
        </w:tc>
        <w:tc>
          <w:tcPr>
            <w:tcW w:w="1290"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主要特性</w:t>
            </w:r>
          </w:p>
        </w:tc>
        <w:tc>
          <w:tcPr>
            <w:tcW w:w="6819" w:type="dxa"/>
            <w:gridSpan w:val="2"/>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 xml:space="preserve">*1.可快速检测单极电外科手术器械和双极电外科手术器械的绝缘故障,对于单极电外科手术器械、双极电外科手术器械检测无需调换相应电压，避免调整电压的误差和失误造成检测的错判。                                            </w:t>
            </w:r>
          </w:p>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2.可自动适配不同直径的腔镜器械和电源线，对腔镜器械和电源线360°全方位检测，无需更换各种配件来完成检测，确保器械安全。最大可检测的器械及线缆直径达5CM。</w:t>
            </w:r>
          </w:p>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3.接地线设计，全程操作无任何电压电流微弱麻麻的感觉，满足操作人员对电的安全畏惧心里。</w:t>
            </w:r>
          </w:p>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可以迅速检测高频电刀刀柄电切键、电凝键及导通性，无需额外添加替换适配器来完成检测</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注：以上所有类型器械及功能检测无需调整电压、更换适配器。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55"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b/>
                <w:bCs w:val="0"/>
                <w:sz w:val="21"/>
                <w:szCs w:val="21"/>
                <w:lang w:val="en-US"/>
              </w:rPr>
            </w:pPr>
            <w:r>
              <w:rPr>
                <w:rFonts w:hint="eastAsia" w:ascii="仿宋" w:hAnsi="仿宋" w:eastAsia="仿宋" w:cs="仿宋"/>
                <w:b/>
                <w:bCs w:val="0"/>
                <w:kern w:val="2"/>
                <w:sz w:val="21"/>
                <w:szCs w:val="21"/>
                <w:lang w:val="en-US" w:eastAsia="zh-CN" w:bidi="ar"/>
              </w:rPr>
              <w:t>2 主机部分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2.1</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数量</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1台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*2.2</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适用器械</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单极手术器械</w:t>
            </w:r>
          </w:p>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双极手术器械</w:t>
            </w:r>
          </w:p>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高频电刀刀柄功能检测</w:t>
            </w:r>
          </w:p>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单极电源线</w:t>
            </w:r>
          </w:p>
          <w:p>
            <w:pPr>
              <w:keepNext w:val="0"/>
              <w:keepLines w:val="0"/>
              <w:widowControl w:val="0"/>
              <w:numPr>
                <w:ilvl w:val="0"/>
                <w:numId w:val="1"/>
              </w:numPr>
              <w:suppressLineNumbers w:val="0"/>
              <w:spacing w:before="0" w:beforeAutospacing="0" w:after="0" w:afterAutospacing="0"/>
              <w:ind w:left="480" w:right="0" w:hanging="48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双极电源线</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电外科手术器械导通性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2.3</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测试电压</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numPr>
                <w:ilvl w:val="0"/>
                <w:numId w:val="2"/>
              </w:numPr>
              <w:suppressLineNumbers w:val="0"/>
              <w:spacing w:before="0" w:beforeAutospacing="0" w:after="0" w:afterAutospacing="0"/>
              <w:ind w:left="360" w:right="0" w:hanging="36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单极器械4000V DC ± 200V@110M欧姆</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双极器械1000V DC ± 100V@33M欧姆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2.4</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输出电流</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单极模式 约0.04mA</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双极模式 约0.033mA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2.5</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报警提示方式</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2"/>
                <w:sz w:val="21"/>
                <w:szCs w:val="21"/>
                <w:lang w:val="en-US" w:eastAsia="zh-CN" w:bidi="ar"/>
              </w:rPr>
            </w:pPr>
            <w:r>
              <w:rPr>
                <w:rFonts w:hint="eastAsia" w:ascii="仿宋" w:hAnsi="仿宋" w:eastAsia="仿宋" w:cs="仿宋"/>
                <w:kern w:val="2"/>
                <w:sz w:val="21"/>
                <w:szCs w:val="21"/>
                <w:lang w:val="en-US" w:eastAsia="zh-CN" w:bidi="ar"/>
              </w:rPr>
              <w:t>报警方式：声光两种报警方式</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仪表盘指针提示</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根据检测的指示灯与报警音显示绝缘缺陷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2.6</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电池</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运行时间：≥10个小时</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2.7</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节能</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能自动进入节能状态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2.8</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充电</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充电器 一只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2.9</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外壳</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高强度防摔一体工程塑料盒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2.10</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符合标准</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符合AS/NZS CISPR11:2002 EMC测试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2.11</w:t>
            </w:r>
          </w:p>
        </w:tc>
        <w:tc>
          <w:tcPr>
            <w:tcW w:w="1610"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重量</w:t>
            </w:r>
          </w:p>
        </w:tc>
        <w:tc>
          <w:tcPr>
            <w:tcW w:w="6499"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请说明重量和安装尺寸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55"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b/>
                <w:bCs w:val="0"/>
                <w:kern w:val="2"/>
                <w:sz w:val="21"/>
                <w:szCs w:val="21"/>
                <w:lang w:val="en-US" w:eastAsia="zh-CN" w:bidi="ar"/>
              </w:rPr>
              <w:t>3 附件部分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3.1</w:t>
            </w:r>
          </w:p>
        </w:tc>
        <w:tc>
          <w:tcPr>
            <w:tcW w:w="738"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left"/>
              <w:rPr>
                <w:rFonts w:hint="eastAsia" w:ascii="仿宋" w:hAnsi="仿宋" w:eastAsia="仿宋" w:cs="仿宋"/>
                <w:sz w:val="21"/>
                <w:szCs w:val="21"/>
              </w:rPr>
            </w:pPr>
            <w:r>
              <w:rPr>
                <w:rFonts w:hint="eastAsia" w:ascii="仿宋" w:hAnsi="仿宋" w:eastAsia="仿宋" w:cs="仿宋"/>
                <w:kern w:val="2"/>
                <w:sz w:val="21"/>
                <w:szCs w:val="21"/>
                <w:lang w:val="en-US" w:eastAsia="zh-CN" w:bidi="ar"/>
              </w:rPr>
              <w:t>选配附件</w:t>
            </w:r>
          </w:p>
        </w:tc>
        <w:tc>
          <w:tcPr>
            <w:tcW w:w="7371" w:type="dxa"/>
            <w:gridSpan w:val="3"/>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厂家必须配备以下附件：</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1.弹力腕带</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2.器械连接线</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3.安全接地线</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4.绝缘检测刷</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5.线缆检测器</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6.校准器</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rPr>
            </w:pPr>
            <w:r>
              <w:rPr>
                <w:rFonts w:hint="eastAsia" w:ascii="仿宋" w:hAnsi="仿宋" w:eastAsia="仿宋" w:cs="仿宋"/>
                <w:kern w:val="2"/>
                <w:sz w:val="21"/>
                <w:szCs w:val="21"/>
                <w:lang w:val="en-US" w:eastAsia="zh-CN" w:bidi="ar"/>
              </w:rPr>
              <w:t>7.器械检测适配器</w:t>
            </w:r>
          </w:p>
          <w:p>
            <w:pPr>
              <w:keepNext w:val="0"/>
              <w:keepLines w:val="0"/>
              <w:widowControl w:val="0"/>
              <w:suppressLineNumbers w:val="0"/>
              <w:spacing w:before="0" w:beforeAutospacing="0" w:after="0" w:afterAutospacing="0"/>
              <w:ind w:left="0" w:right="0"/>
              <w:jc w:val="both"/>
              <w:rPr>
                <w:rFonts w:hint="eastAsia" w:ascii="仿宋" w:hAnsi="仿宋" w:eastAsia="仿宋" w:cs="仿宋"/>
                <w:kern w:val="2"/>
                <w:sz w:val="21"/>
                <w:szCs w:val="21"/>
                <w:lang w:val="en-US" w:eastAsia="zh-CN" w:bidi="ar"/>
              </w:rPr>
            </w:pPr>
            <w:r>
              <w:rPr>
                <w:rFonts w:hint="eastAsia" w:ascii="仿宋" w:hAnsi="仿宋" w:eastAsia="仿宋" w:cs="仿宋"/>
                <w:kern w:val="2"/>
                <w:sz w:val="21"/>
                <w:szCs w:val="21"/>
                <w:lang w:val="en-US" w:eastAsia="zh-CN" w:bidi="ar"/>
              </w:rPr>
              <w:t>8.鳄鱼夹等</w:t>
            </w:r>
          </w:p>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9.脚踏控制开关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755" w:type="dxa"/>
            <w:gridSpan w:val="5"/>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b/>
                <w:bCs w:val="0"/>
                <w:kern w:val="2"/>
                <w:sz w:val="21"/>
                <w:szCs w:val="21"/>
                <w:lang w:val="en-US" w:eastAsia="zh-CN" w:bidi="ar"/>
              </w:rPr>
              <w:t>4 其他：技术人员提供现场安装及操作培训服务。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default" w:ascii="仿宋" w:hAnsi="仿宋" w:eastAsia="仿宋" w:cs="仿宋"/>
                <w:sz w:val="21"/>
                <w:szCs w:val="21"/>
                <w:lang w:val="en-US"/>
              </w:rPr>
            </w:pPr>
            <w:r>
              <w:rPr>
                <w:rFonts w:hint="eastAsia" w:ascii="仿宋" w:hAnsi="仿宋" w:eastAsia="仿宋" w:cs="仿宋"/>
                <w:kern w:val="2"/>
                <w:sz w:val="21"/>
                <w:szCs w:val="21"/>
                <w:lang w:val="en-US" w:eastAsia="zh-CN" w:bidi="ar"/>
              </w:rPr>
              <w:t>4.1</w:t>
            </w:r>
          </w:p>
        </w:tc>
        <w:tc>
          <w:tcPr>
            <w:tcW w:w="8109" w:type="dxa"/>
            <w:gridSpan w:val="4"/>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提供同机型近三年二甲及以上用户清单并附联系方式。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default" w:ascii="仿宋" w:hAnsi="仿宋" w:eastAsia="仿宋" w:cs="仿宋"/>
                <w:kern w:val="2"/>
                <w:sz w:val="21"/>
                <w:szCs w:val="21"/>
                <w:lang w:val="en-US" w:eastAsia="zh-CN" w:bidi="ar"/>
              </w:rPr>
            </w:pPr>
            <w:r>
              <w:rPr>
                <w:rFonts w:hint="eastAsia" w:ascii="仿宋" w:hAnsi="仿宋" w:eastAsia="仿宋" w:cs="仿宋"/>
                <w:kern w:val="2"/>
                <w:sz w:val="21"/>
                <w:szCs w:val="21"/>
                <w:lang w:val="en-US" w:eastAsia="zh-CN" w:bidi="ar"/>
              </w:rPr>
              <w:t>4.2</w:t>
            </w:r>
          </w:p>
        </w:tc>
        <w:tc>
          <w:tcPr>
            <w:tcW w:w="8109" w:type="dxa"/>
            <w:gridSpan w:val="4"/>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sz w:val="21"/>
                <w:szCs w:val="21"/>
                <w:lang w:val="en-US"/>
              </w:rPr>
            </w:pPr>
            <w:r>
              <w:rPr>
                <w:rFonts w:hint="eastAsia" w:ascii="仿宋" w:hAnsi="仿宋" w:eastAsia="仿宋" w:cs="仿宋"/>
                <w:kern w:val="2"/>
                <w:sz w:val="21"/>
                <w:szCs w:val="21"/>
                <w:lang w:val="en-US" w:eastAsia="zh-CN" w:bidi="ar"/>
              </w:rPr>
              <w:t>列出相关耗材/零配件的品牌、型号、价格清单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646" w:type="dxa"/>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default" w:ascii="仿宋" w:hAnsi="仿宋" w:eastAsia="仿宋" w:cs="仿宋"/>
                <w:kern w:val="2"/>
                <w:sz w:val="21"/>
                <w:szCs w:val="21"/>
                <w:lang w:val="en-US" w:eastAsia="zh-CN" w:bidi="ar"/>
              </w:rPr>
            </w:pPr>
            <w:r>
              <w:rPr>
                <w:rFonts w:hint="eastAsia" w:ascii="仿宋" w:hAnsi="仿宋" w:eastAsia="仿宋" w:cs="仿宋"/>
                <w:kern w:val="2"/>
                <w:sz w:val="21"/>
                <w:szCs w:val="21"/>
                <w:lang w:val="en-US" w:eastAsia="zh-CN" w:bidi="ar"/>
              </w:rPr>
              <w:t>4.3</w:t>
            </w:r>
          </w:p>
        </w:tc>
        <w:tc>
          <w:tcPr>
            <w:tcW w:w="8109" w:type="dxa"/>
            <w:gridSpan w:val="4"/>
            <w:tcBorders>
              <w:top w:val="single" w:color="000000" w:sz="4" w:space="0"/>
              <w:left w:val="single" w:color="000000" w:sz="4" w:space="0"/>
              <w:bottom w:val="single" w:color="000000" w:sz="4" w:space="0"/>
              <w:right w:val="single" w:color="000000" w:sz="4" w:space="0"/>
            </w:tcBorders>
            <w:noWrap w:val="0"/>
            <w:vAlign w:val="top"/>
          </w:tcPr>
          <w:p>
            <w:pPr>
              <w:keepNext w:val="0"/>
              <w:keepLines w:val="0"/>
              <w:widowControl w:val="0"/>
              <w:suppressLineNumbers w:val="0"/>
              <w:spacing w:before="0" w:beforeAutospacing="0" w:after="0" w:afterAutospacing="0"/>
              <w:ind w:left="0" w:right="0"/>
              <w:jc w:val="both"/>
              <w:rPr>
                <w:rFonts w:hint="eastAsia" w:ascii="仿宋" w:hAnsi="仿宋" w:eastAsia="仿宋" w:cs="仿宋"/>
                <w:kern w:val="2"/>
                <w:sz w:val="21"/>
                <w:szCs w:val="21"/>
                <w:lang w:val="en-US" w:eastAsia="zh-CN" w:bidi="ar"/>
              </w:rPr>
            </w:pPr>
            <w:r>
              <w:rPr>
                <w:rFonts w:hint="eastAsia" w:ascii="仿宋" w:hAnsi="仿宋" w:eastAsia="仿宋" w:cs="仿宋"/>
                <w:kern w:val="2"/>
                <w:sz w:val="21"/>
                <w:szCs w:val="21"/>
                <w:lang w:val="en-US" w:eastAsia="zh-CN" w:bidi="ar"/>
              </w:rPr>
              <w:t>保修2年</w:t>
            </w:r>
          </w:p>
        </w:tc>
      </w:tr>
    </w:tbl>
    <w:p>
      <w:pPr>
        <w:rPr>
          <w:rFonts w:hint="eastAsia" w:ascii="楷体" w:hAnsi="楷体" w:eastAsia="楷体"/>
          <w:sz w:val="28"/>
          <w:szCs w:val="28"/>
        </w:rPr>
      </w:pPr>
    </w:p>
    <w:p>
      <w:pPr>
        <w:spacing w:line="320" w:lineRule="exact"/>
        <w:rPr>
          <w:rFonts w:hint="eastAsia" w:ascii="仿宋" w:hAnsi="仿宋" w:eastAsia="仿宋"/>
          <w:b/>
          <w:szCs w:val="21"/>
          <w:lang w:eastAsia="zh-CN"/>
        </w:rPr>
      </w:pPr>
      <w:r>
        <w:rPr>
          <w:rFonts w:hint="eastAsia" w:ascii="仿宋" w:hAnsi="仿宋" w:eastAsia="仿宋"/>
          <w:b/>
          <w:szCs w:val="21"/>
          <w:lang w:eastAsia="zh-CN"/>
        </w:rPr>
        <w:t>第二部分：</w:t>
      </w:r>
      <w:r>
        <w:rPr>
          <w:rFonts w:hint="eastAsia" w:ascii="仿宋" w:hAnsi="仿宋" w:eastAsia="仿宋"/>
          <w:b/>
          <w:szCs w:val="21"/>
        </w:rPr>
        <w:t>拟购项目</w:t>
      </w:r>
      <w:r>
        <w:rPr>
          <w:rFonts w:hint="eastAsia" w:ascii="仿宋" w:hAnsi="仿宋" w:eastAsia="仿宋"/>
          <w:b/>
          <w:szCs w:val="21"/>
          <w:lang w:eastAsia="zh-CN"/>
        </w:rPr>
        <w:t>配置清单</w:t>
      </w:r>
    </w:p>
    <w:tbl>
      <w:tblPr>
        <w:tblStyle w:val="9"/>
        <w:tblW w:w="9615" w:type="dxa"/>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75"/>
        <w:gridCol w:w="3060"/>
        <w:gridCol w:w="1110"/>
        <w:gridCol w:w="780"/>
        <w:gridCol w:w="2055"/>
        <w:gridCol w:w="1935"/>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4845" w:type="dxa"/>
            <w:gridSpan w:val="3"/>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rPr>
              <w:t>本项目</w:t>
            </w:r>
            <w:r>
              <w:rPr>
                <w:rFonts w:hint="eastAsia" w:ascii="仿宋" w:hAnsi="仿宋" w:eastAsia="仿宋"/>
                <w:b w:val="0"/>
                <w:bCs/>
                <w:szCs w:val="21"/>
                <w:lang w:eastAsia="zh-CN"/>
              </w:rPr>
              <w:t>拟配置清单</w:t>
            </w:r>
          </w:p>
        </w:tc>
        <w:tc>
          <w:tcPr>
            <w:tcW w:w="780" w:type="dxa"/>
            <w:vMerge w:val="restart"/>
          </w:tcPr>
          <w:p>
            <w:pPr>
              <w:spacing w:line="320" w:lineRule="exact"/>
              <w:jc w:val="center"/>
              <w:rPr>
                <w:rFonts w:ascii="仿宋" w:hAnsi="仿宋"/>
                <w:b w:val="0"/>
                <w:bCs/>
                <w:szCs w:val="21"/>
              </w:rPr>
            </w:pPr>
            <w:r>
              <w:rPr>
                <w:rFonts w:hint="eastAsia" w:ascii="仿宋" w:hAnsi="仿宋" w:eastAsia="仿宋"/>
                <w:b w:val="0"/>
                <w:bCs/>
                <w:szCs w:val="21"/>
              </w:rPr>
              <w:t>响应情况</w:t>
            </w:r>
          </w:p>
        </w:tc>
        <w:tc>
          <w:tcPr>
            <w:tcW w:w="2055" w:type="dxa"/>
            <w:vMerge w:val="restart"/>
          </w:tcPr>
          <w:p>
            <w:pPr>
              <w:spacing w:line="320" w:lineRule="exact"/>
              <w:jc w:val="center"/>
              <w:rPr>
                <w:rFonts w:ascii="仿宋" w:hAnsi="仿宋" w:eastAsia="仿宋"/>
                <w:b w:val="0"/>
                <w:bCs/>
                <w:szCs w:val="21"/>
              </w:rPr>
            </w:pPr>
            <w:r>
              <w:rPr>
                <w:rFonts w:hint="eastAsia" w:ascii="仿宋" w:hAnsi="仿宋" w:eastAsia="仿宋"/>
                <w:b w:val="0"/>
                <w:bCs/>
                <w:szCs w:val="21"/>
              </w:rPr>
              <w:t>建议修改指标</w:t>
            </w:r>
          </w:p>
        </w:tc>
        <w:tc>
          <w:tcPr>
            <w:tcW w:w="1935" w:type="dxa"/>
            <w:vMerge w:val="restart"/>
          </w:tcPr>
          <w:p>
            <w:pPr>
              <w:spacing w:line="320" w:lineRule="exact"/>
              <w:jc w:val="center"/>
              <w:rPr>
                <w:rFonts w:ascii="仿宋" w:hAnsi="仿宋" w:eastAsia="仿宋"/>
                <w:b w:val="0"/>
                <w:bCs/>
                <w:szCs w:val="21"/>
              </w:rPr>
            </w:pPr>
            <w:r>
              <w:rPr>
                <w:rFonts w:hint="eastAsia" w:ascii="仿宋" w:hAnsi="仿宋" w:eastAsia="仿宋"/>
                <w:b w:val="0"/>
                <w:bCs/>
                <w:szCs w:val="21"/>
              </w:rPr>
              <w:t>备注</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spacing w:line="320" w:lineRule="exact"/>
              <w:jc w:val="center"/>
              <w:rPr>
                <w:rFonts w:ascii="仿宋" w:hAnsi="仿宋" w:eastAsia="仿宋"/>
                <w:b w:val="0"/>
                <w:bCs/>
                <w:szCs w:val="21"/>
              </w:rPr>
            </w:pPr>
            <w:r>
              <w:rPr>
                <w:rFonts w:hint="eastAsia" w:ascii="仿宋" w:hAnsi="仿宋" w:eastAsia="仿宋"/>
                <w:b w:val="0"/>
                <w:bCs/>
                <w:szCs w:val="21"/>
              </w:rPr>
              <w:t>序号</w:t>
            </w:r>
          </w:p>
        </w:tc>
        <w:tc>
          <w:tcPr>
            <w:tcW w:w="3060" w:type="dxa"/>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lang w:eastAsia="zh-CN"/>
              </w:rPr>
              <w:t>配置清单名称</w:t>
            </w:r>
          </w:p>
        </w:tc>
        <w:tc>
          <w:tcPr>
            <w:tcW w:w="1110" w:type="dxa"/>
          </w:tcPr>
          <w:p>
            <w:pPr>
              <w:spacing w:line="320" w:lineRule="exact"/>
              <w:jc w:val="center"/>
              <w:rPr>
                <w:rFonts w:hint="eastAsia" w:ascii="仿宋" w:hAnsi="仿宋" w:eastAsia="仿宋"/>
                <w:b w:val="0"/>
                <w:bCs/>
                <w:szCs w:val="21"/>
                <w:lang w:eastAsia="zh-CN"/>
              </w:rPr>
            </w:pPr>
            <w:r>
              <w:rPr>
                <w:rFonts w:hint="eastAsia" w:ascii="仿宋" w:hAnsi="仿宋" w:eastAsia="仿宋"/>
                <w:b w:val="0"/>
                <w:bCs/>
                <w:szCs w:val="21"/>
                <w:lang w:eastAsia="zh-CN"/>
              </w:rPr>
              <w:t>数量</w:t>
            </w:r>
          </w:p>
        </w:tc>
        <w:tc>
          <w:tcPr>
            <w:tcW w:w="780" w:type="dxa"/>
            <w:vMerge w:val="continue"/>
          </w:tcPr>
          <w:p>
            <w:pPr>
              <w:spacing w:line="320" w:lineRule="exact"/>
              <w:rPr>
                <w:rFonts w:ascii="仿宋" w:hAnsi="仿宋" w:eastAsia="仿宋"/>
                <w:b w:val="0"/>
                <w:bCs/>
                <w:szCs w:val="21"/>
              </w:rPr>
            </w:pPr>
          </w:p>
        </w:tc>
        <w:tc>
          <w:tcPr>
            <w:tcW w:w="2055" w:type="dxa"/>
            <w:vMerge w:val="continue"/>
          </w:tcPr>
          <w:p>
            <w:pPr>
              <w:spacing w:line="320" w:lineRule="exact"/>
              <w:rPr>
                <w:rFonts w:ascii="仿宋" w:hAnsi="仿宋" w:eastAsia="仿宋"/>
                <w:b w:val="0"/>
                <w:bCs/>
                <w:szCs w:val="21"/>
              </w:rPr>
            </w:pPr>
          </w:p>
        </w:tc>
        <w:tc>
          <w:tcPr>
            <w:tcW w:w="1935" w:type="dxa"/>
            <w:vMerge w:val="continue"/>
          </w:tcPr>
          <w:p>
            <w:pPr>
              <w:spacing w:line="320" w:lineRule="exact"/>
              <w:rPr>
                <w:rFonts w:ascii="仿宋" w:hAnsi="仿宋" w:eastAsia="仿宋"/>
                <w:b w:val="0"/>
                <w:bCs/>
                <w:szCs w:val="21"/>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675" w:type="dxa"/>
          </w:tcPr>
          <w:p>
            <w:pPr>
              <w:spacing w:line="320" w:lineRule="exact"/>
              <w:rPr>
                <w:rFonts w:ascii="仿宋" w:hAnsi="仿宋" w:eastAsia="仿宋"/>
                <w:b w:val="0"/>
                <w:bCs/>
                <w:szCs w:val="21"/>
              </w:rPr>
            </w:pPr>
          </w:p>
        </w:tc>
        <w:tc>
          <w:tcPr>
            <w:tcW w:w="3060" w:type="dxa"/>
          </w:tcPr>
          <w:p>
            <w:pPr>
              <w:spacing w:line="320" w:lineRule="exact"/>
              <w:rPr>
                <w:rFonts w:ascii="仿宋" w:hAnsi="仿宋" w:eastAsia="仿宋"/>
                <w:b w:val="0"/>
                <w:bCs/>
                <w:szCs w:val="21"/>
              </w:rPr>
            </w:pPr>
          </w:p>
        </w:tc>
        <w:tc>
          <w:tcPr>
            <w:tcW w:w="1110" w:type="dxa"/>
          </w:tcPr>
          <w:p>
            <w:pPr>
              <w:spacing w:line="320" w:lineRule="exact"/>
              <w:rPr>
                <w:rFonts w:ascii="仿宋" w:hAnsi="仿宋" w:eastAsia="仿宋"/>
                <w:b w:val="0"/>
                <w:bCs/>
                <w:szCs w:val="21"/>
              </w:rPr>
            </w:pPr>
          </w:p>
        </w:tc>
        <w:tc>
          <w:tcPr>
            <w:tcW w:w="780" w:type="dxa"/>
          </w:tcPr>
          <w:p>
            <w:pPr>
              <w:spacing w:line="320" w:lineRule="exact"/>
              <w:rPr>
                <w:rFonts w:ascii="仿宋" w:hAnsi="仿宋" w:eastAsia="仿宋"/>
                <w:b w:val="0"/>
                <w:bCs/>
                <w:szCs w:val="21"/>
              </w:rPr>
            </w:pPr>
          </w:p>
        </w:tc>
        <w:tc>
          <w:tcPr>
            <w:tcW w:w="2055" w:type="dxa"/>
          </w:tcPr>
          <w:p>
            <w:pPr>
              <w:spacing w:line="320" w:lineRule="exact"/>
              <w:rPr>
                <w:rFonts w:ascii="仿宋" w:hAnsi="仿宋" w:eastAsia="仿宋"/>
                <w:b w:val="0"/>
                <w:bCs/>
                <w:szCs w:val="21"/>
              </w:rPr>
            </w:pPr>
          </w:p>
        </w:tc>
        <w:tc>
          <w:tcPr>
            <w:tcW w:w="1935" w:type="dxa"/>
          </w:tcPr>
          <w:p>
            <w:pPr>
              <w:spacing w:line="320" w:lineRule="exact"/>
              <w:rPr>
                <w:rFonts w:ascii="仿宋" w:hAnsi="仿宋" w:eastAsia="仿宋"/>
                <w:b w:val="0"/>
                <w:bCs/>
                <w:szCs w:val="21"/>
              </w:rPr>
            </w:pPr>
          </w:p>
        </w:tc>
      </w:tr>
    </w:tbl>
    <w:p>
      <w:pPr>
        <w:rPr>
          <w:rFonts w:hint="eastAsia" w:ascii="楷体" w:hAnsi="楷体" w:eastAsia="楷体"/>
          <w:sz w:val="28"/>
          <w:szCs w:val="28"/>
        </w:rPr>
      </w:pPr>
    </w:p>
    <w:p>
      <w:pPr>
        <w:rPr>
          <w:rFonts w:hint="eastAsia" w:ascii="楷体" w:hAnsi="楷体" w:eastAsia="楷体"/>
          <w:sz w:val="28"/>
          <w:szCs w:val="28"/>
        </w:rPr>
      </w:pPr>
    </w:p>
    <w:p>
      <w:pPr>
        <w:rPr>
          <w:rFonts w:hint="eastAsia" w:ascii="楷体" w:hAnsi="楷体" w:eastAsia="楷体"/>
          <w:sz w:val="28"/>
          <w:szCs w:val="28"/>
        </w:rPr>
      </w:pPr>
    </w:p>
    <w:p>
      <w:pPr>
        <w:rPr>
          <w:rFonts w:hint="eastAsia" w:ascii="楷体" w:hAnsi="楷体" w:eastAsia="楷体"/>
          <w:sz w:val="28"/>
          <w:szCs w:val="28"/>
        </w:rPr>
      </w:pPr>
    </w:p>
    <w:p>
      <w:pPr>
        <w:rPr>
          <w:rFonts w:hint="eastAsia" w:ascii="楷体" w:hAnsi="楷体" w:eastAsia="楷体"/>
          <w:sz w:val="28"/>
          <w:szCs w:val="28"/>
        </w:rPr>
      </w:pPr>
    </w:p>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9250E7"/>
    <w:multiLevelType w:val="multilevel"/>
    <w:tmpl w:val="599250E7"/>
    <w:lvl w:ilvl="0" w:tentative="0">
      <w:start w:val="1"/>
      <w:numFmt w:val="upperLetter"/>
      <w:lvlText w:val="%1)"/>
      <w:lvlJc w:val="left"/>
      <w:pPr>
        <w:tabs>
          <w:tab w:val="left" w:pos="0"/>
        </w:tabs>
        <w:ind w:left="480" w:hanging="480"/>
      </w:pPr>
    </w:lvl>
    <w:lvl w:ilvl="1" w:tentative="0">
      <w:start w:val="1"/>
      <w:numFmt w:val="lowerLetter"/>
      <w:lvlText w:val="%2)"/>
      <w:lvlJc w:val="left"/>
      <w:pPr>
        <w:tabs>
          <w:tab w:val="left" w:pos="0"/>
        </w:tabs>
        <w:ind w:left="960" w:hanging="480"/>
      </w:pPr>
    </w:lvl>
    <w:lvl w:ilvl="2" w:tentative="0">
      <w:start w:val="1"/>
      <w:numFmt w:val="lowerRoman"/>
      <w:lvlText w:val="%3."/>
      <w:lvlJc w:val="right"/>
      <w:pPr>
        <w:tabs>
          <w:tab w:val="left" w:pos="0"/>
        </w:tabs>
        <w:ind w:left="1440" w:hanging="480"/>
      </w:pPr>
    </w:lvl>
    <w:lvl w:ilvl="3" w:tentative="0">
      <w:start w:val="1"/>
      <w:numFmt w:val="decimal"/>
      <w:lvlText w:val="%4."/>
      <w:lvlJc w:val="left"/>
      <w:pPr>
        <w:tabs>
          <w:tab w:val="left" w:pos="0"/>
        </w:tabs>
        <w:ind w:left="1920" w:hanging="480"/>
      </w:pPr>
    </w:lvl>
    <w:lvl w:ilvl="4" w:tentative="0">
      <w:start w:val="1"/>
      <w:numFmt w:val="lowerLetter"/>
      <w:lvlText w:val="%5)"/>
      <w:lvlJc w:val="left"/>
      <w:pPr>
        <w:tabs>
          <w:tab w:val="left" w:pos="0"/>
        </w:tabs>
        <w:ind w:left="2400" w:hanging="480"/>
      </w:pPr>
    </w:lvl>
    <w:lvl w:ilvl="5" w:tentative="0">
      <w:start w:val="1"/>
      <w:numFmt w:val="lowerRoman"/>
      <w:lvlText w:val="%6."/>
      <w:lvlJc w:val="right"/>
      <w:pPr>
        <w:tabs>
          <w:tab w:val="left" w:pos="0"/>
        </w:tabs>
        <w:ind w:left="2880" w:hanging="480"/>
      </w:pPr>
    </w:lvl>
    <w:lvl w:ilvl="6" w:tentative="0">
      <w:start w:val="1"/>
      <w:numFmt w:val="decimal"/>
      <w:lvlText w:val="%7."/>
      <w:lvlJc w:val="left"/>
      <w:pPr>
        <w:tabs>
          <w:tab w:val="left" w:pos="0"/>
        </w:tabs>
        <w:ind w:left="3360" w:hanging="480"/>
      </w:pPr>
    </w:lvl>
    <w:lvl w:ilvl="7" w:tentative="0">
      <w:start w:val="1"/>
      <w:numFmt w:val="lowerLetter"/>
      <w:lvlText w:val="%8)"/>
      <w:lvlJc w:val="left"/>
      <w:pPr>
        <w:tabs>
          <w:tab w:val="left" w:pos="0"/>
        </w:tabs>
        <w:ind w:left="3840" w:hanging="480"/>
      </w:pPr>
    </w:lvl>
    <w:lvl w:ilvl="8" w:tentative="0">
      <w:start w:val="1"/>
      <w:numFmt w:val="lowerRoman"/>
      <w:lvlText w:val="%9."/>
      <w:lvlJc w:val="right"/>
      <w:pPr>
        <w:tabs>
          <w:tab w:val="left" w:pos="0"/>
        </w:tabs>
        <w:ind w:left="4320" w:hanging="480"/>
      </w:pPr>
    </w:lvl>
  </w:abstractNum>
  <w:abstractNum w:abstractNumId="1">
    <w:nsid w:val="599250F2"/>
    <w:multiLevelType w:val="multilevel"/>
    <w:tmpl w:val="599250F2"/>
    <w:lvl w:ilvl="0" w:tentative="0">
      <w:start w:val="1"/>
      <w:numFmt w:val="upperLetter"/>
      <w:lvlText w:val="%1)"/>
      <w:lvlJc w:val="left"/>
      <w:pPr>
        <w:tabs>
          <w:tab w:val="left" w:pos="0"/>
        </w:tabs>
        <w:ind w:left="360" w:hanging="360"/>
      </w:p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M1ZTY3YjdlMDhlNTFjNTMwODFhOGM5YTBlM2E5YWUifQ=="/>
  </w:docVars>
  <w:rsids>
    <w:rsidRoot w:val="14275F8F"/>
    <w:rsid w:val="14275F8F"/>
    <w:rsid w:val="2D1514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character" w:default="1" w:styleId="10">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rPr>
      <w:rFonts w:ascii="Times New Roman" w:hAnsi="Times New Roman"/>
      <w:kern w:val="0"/>
      <w:sz w:val="20"/>
      <w:szCs w:val="20"/>
    </w:rPr>
  </w:style>
  <w:style w:type="paragraph" w:styleId="3">
    <w:name w:val="Body Text"/>
    <w:basedOn w:val="1"/>
    <w:next w:val="4"/>
    <w:qFormat/>
    <w:uiPriority w:val="0"/>
    <w:pPr>
      <w:spacing w:after="120"/>
    </w:pPr>
  </w:style>
  <w:style w:type="paragraph" w:customStyle="1" w:styleId="4">
    <w:name w:val="style4"/>
    <w:basedOn w:val="1"/>
    <w:next w:val="5"/>
    <w:qFormat/>
    <w:uiPriority w:val="0"/>
    <w:pPr>
      <w:widowControl/>
      <w:spacing w:before="280" w:after="280"/>
    </w:pPr>
    <w:rPr>
      <w:rFonts w:ascii="宋体" w:hAnsi="Times New Roman" w:eastAsia="宋体" w:cs="Times New Roman"/>
      <w:sz w:val="18"/>
    </w:rPr>
  </w:style>
  <w:style w:type="paragraph" w:customStyle="1" w:styleId="5">
    <w:name w:val="2"/>
    <w:next w:val="1"/>
    <w:qFormat/>
    <w:uiPriority w:val="0"/>
    <w:pPr>
      <w:widowControl w:val="0"/>
      <w:jc w:val="both"/>
    </w:pPr>
    <w:rPr>
      <w:rFonts w:ascii="Calibri" w:hAnsi="Calibri" w:eastAsia="宋体" w:cs="Times New Roman"/>
      <w:sz w:val="21"/>
      <w:szCs w:val="22"/>
      <w:lang w:val="en-US" w:eastAsia="zh-CN" w:bidi="ar-SA"/>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11">
    <w:name w:val="page number"/>
    <w:basedOn w:val="10"/>
    <w:qFormat/>
    <w:uiPriority w:val="0"/>
  </w:style>
  <w:style w:type="character" w:customStyle="1" w:styleId="12">
    <w:name w:val="NormalCharact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38</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2023-04-13T01:48:00Z</dcterms:created>
  <dc:creator>Administrator</dc:creator>
  <cp:lastModifiedBy>Administrator</cp:lastModifiedBy>
  <dcterms:modified xsi:type="dcterms:W3CDTF">2023-04-13T08:35:07Z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98903E640E4F40DBA5E80ECF15A61134_11</vt:lpwstr>
  </property>
</Properties>
</file>