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20" w:lineRule="exact"/>
        <w:jc w:val="center"/>
        <w:rPr>
          <w:rFonts w:ascii="仿宋" w:hAnsi="仿宋" w:eastAsia="仿宋"/>
          <w:sz w:val="32"/>
          <w:szCs w:val="32"/>
        </w:rPr>
      </w:pPr>
      <w:r>
        <w:rPr>
          <w:rFonts w:hint="eastAsia" w:asciiTheme="majorEastAsia" w:hAnsiTheme="majorEastAsia" w:eastAsiaTheme="majorEastAsia"/>
          <w:b/>
          <w:sz w:val="32"/>
          <w:szCs w:val="32"/>
        </w:rPr>
        <w:t>拟购</w:t>
      </w:r>
      <w:r>
        <w:rPr>
          <w:rFonts w:hint="eastAsia" w:asciiTheme="majorEastAsia" w:hAnsiTheme="majorEastAsia" w:eastAsiaTheme="majorEastAsia"/>
          <w:b/>
          <w:sz w:val="32"/>
          <w:szCs w:val="32"/>
          <w:u w:val="single"/>
          <w:lang w:eastAsia="zh-CN"/>
        </w:rPr>
        <w:t>牙科综合治疗椅</w:t>
      </w:r>
      <w:r>
        <w:rPr>
          <w:rFonts w:hint="eastAsia" w:asciiTheme="majorEastAsia" w:hAnsiTheme="majorEastAsia" w:eastAsiaTheme="majorEastAsia"/>
          <w:b/>
          <w:sz w:val="32"/>
          <w:szCs w:val="32"/>
        </w:rPr>
        <w:t>项目</w:t>
      </w:r>
      <w:r>
        <w:rPr>
          <w:rFonts w:hint="eastAsia" w:asciiTheme="majorEastAsia" w:hAnsiTheme="majorEastAsia" w:eastAsiaTheme="majorEastAsia"/>
          <w:b/>
          <w:sz w:val="32"/>
          <w:szCs w:val="32"/>
          <w:lang w:val="en-US" w:eastAsia="zh-CN"/>
        </w:rPr>
        <w:t>第二次</w:t>
      </w:r>
      <w:r>
        <w:rPr>
          <w:rFonts w:hint="eastAsia" w:asciiTheme="majorEastAsia" w:hAnsiTheme="majorEastAsia" w:eastAsiaTheme="majorEastAsia"/>
          <w:b/>
          <w:sz w:val="32"/>
          <w:szCs w:val="32"/>
        </w:rPr>
        <w:t>参数论证征集意见表</w:t>
      </w:r>
    </w:p>
    <w:p>
      <w:pPr>
        <w:spacing w:line="320" w:lineRule="exact"/>
        <w:rPr>
          <w:rFonts w:ascii="仿宋" w:hAnsi="仿宋" w:eastAsia="仿宋"/>
          <w:sz w:val="24"/>
          <w:szCs w:val="24"/>
        </w:rPr>
      </w:pPr>
    </w:p>
    <w:p>
      <w:pPr>
        <w:spacing w:line="300" w:lineRule="exact"/>
        <w:rPr>
          <w:rFonts w:ascii="仿宋" w:hAnsi="仿宋" w:eastAsia="仿宋"/>
          <w:szCs w:val="21"/>
          <w:u w:val="single"/>
        </w:rPr>
      </w:pPr>
      <w:r>
        <w:rPr>
          <w:rFonts w:hint="eastAsia" w:ascii="仿宋" w:hAnsi="仿宋" w:eastAsia="仿宋"/>
          <w:szCs w:val="21"/>
        </w:rPr>
        <w:t>供应商、联系人及电话（加盖公章）：</w:t>
      </w:r>
      <w:r>
        <w:rPr>
          <w:rFonts w:hint="eastAsia" w:ascii="仿宋" w:hAnsi="仿宋" w:eastAsia="仿宋"/>
          <w:szCs w:val="21"/>
          <w:u w:val="single"/>
        </w:rPr>
        <w:t xml:space="preserve">                                                      </w:t>
      </w:r>
    </w:p>
    <w:p>
      <w:pPr>
        <w:spacing w:line="300" w:lineRule="exact"/>
        <w:rPr>
          <w:rFonts w:ascii="仿宋" w:hAnsi="仿宋" w:eastAsia="仿宋"/>
          <w:szCs w:val="21"/>
          <w:u w:val="single"/>
        </w:rPr>
      </w:pPr>
      <w:r>
        <w:rPr>
          <w:rFonts w:hint="eastAsia" w:ascii="仿宋" w:hAnsi="仿宋" w:eastAsia="仿宋"/>
          <w:szCs w:val="21"/>
        </w:rPr>
        <w:t>产品品牌、规格型号、产地、医疗器械注册证号及最低报价：</w:t>
      </w:r>
      <w:r>
        <w:rPr>
          <w:rFonts w:hint="eastAsia" w:ascii="仿宋" w:hAnsi="仿宋" w:eastAsia="仿宋"/>
          <w:szCs w:val="21"/>
          <w:u w:val="single"/>
        </w:rPr>
        <w:t xml:space="preserve">                                 </w:t>
      </w:r>
    </w:p>
    <w:p>
      <w:pPr>
        <w:spacing w:line="300" w:lineRule="exact"/>
        <w:ind w:firstLine="422" w:firstLineChars="200"/>
        <w:rPr>
          <w:rFonts w:ascii="仿宋" w:hAnsi="仿宋" w:eastAsia="仿宋"/>
          <w:b/>
          <w:szCs w:val="21"/>
        </w:rPr>
      </w:pPr>
      <w:r>
        <w:rPr>
          <w:rFonts w:hint="eastAsia" w:ascii="仿宋" w:hAnsi="仿宋" w:eastAsia="仿宋"/>
          <w:b/>
          <w:szCs w:val="21"/>
        </w:rPr>
        <w:t>备注：</w:t>
      </w:r>
    </w:p>
    <w:p>
      <w:pPr>
        <w:spacing w:line="300" w:lineRule="exact"/>
        <w:ind w:firstLine="420" w:firstLineChars="200"/>
        <w:rPr>
          <w:rFonts w:ascii="仿宋" w:hAnsi="仿宋" w:eastAsia="仿宋"/>
          <w:szCs w:val="21"/>
        </w:rPr>
      </w:pPr>
      <w:r>
        <w:rPr>
          <w:rFonts w:hint="eastAsia" w:ascii="仿宋" w:hAnsi="仿宋" w:eastAsia="仿宋"/>
          <w:szCs w:val="21"/>
        </w:rPr>
        <w:t>1、按要求格式填写并每页加盖报名供应商公章【电子章无效】，在规定时间内以</w:t>
      </w:r>
      <w:r>
        <w:rPr>
          <w:rFonts w:hint="eastAsia" w:ascii="仿宋" w:hAnsi="仿宋" w:eastAsia="仿宋"/>
          <w:b/>
          <w:szCs w:val="21"/>
        </w:rPr>
        <w:t>原件扫描件和电子版形式</w:t>
      </w:r>
      <w:r>
        <w:rPr>
          <w:rFonts w:hint="eastAsia" w:ascii="仿宋" w:hAnsi="仿宋" w:eastAsia="仿宋"/>
          <w:szCs w:val="21"/>
        </w:rPr>
        <w:t>发送至医院指定邮箱（医学装备部：1014327170@qq.com）；</w:t>
      </w:r>
    </w:p>
    <w:p>
      <w:pPr>
        <w:spacing w:line="300" w:lineRule="exact"/>
        <w:ind w:firstLine="420" w:firstLineChars="200"/>
        <w:rPr>
          <w:rFonts w:ascii="仿宋" w:hAnsi="仿宋" w:eastAsia="仿宋"/>
          <w:b/>
          <w:szCs w:val="21"/>
          <w:u w:val="single"/>
        </w:rPr>
      </w:pPr>
      <w:r>
        <w:rPr>
          <w:rFonts w:hint="eastAsia" w:ascii="仿宋" w:hAnsi="仿宋" w:eastAsia="仿宋"/>
          <w:szCs w:val="21"/>
        </w:rPr>
        <w:t>2、响应情况（是/否）若为否则须标注具体建议修改指标（</w:t>
      </w:r>
      <w:r>
        <w:rPr>
          <w:rFonts w:hint="eastAsia" w:ascii="仿宋" w:hAnsi="仿宋" w:eastAsia="仿宋"/>
          <w:b/>
          <w:bCs/>
          <w:szCs w:val="21"/>
        </w:rPr>
        <w:t>未标注则默认为响应参数</w:t>
      </w:r>
      <w:r>
        <w:rPr>
          <w:rFonts w:hint="eastAsia" w:ascii="仿宋" w:hAnsi="仿宋" w:eastAsia="仿宋"/>
          <w:szCs w:val="21"/>
        </w:rPr>
        <w:t>），</w:t>
      </w:r>
      <w:r>
        <w:rPr>
          <w:rFonts w:hint="eastAsia" w:ascii="仿宋" w:hAnsi="仿宋" w:eastAsia="仿宋"/>
          <w:b/>
          <w:bCs/>
          <w:szCs w:val="21"/>
        </w:rPr>
        <w:t>建议修改指标须提供相应证明材料</w:t>
      </w:r>
      <w:r>
        <w:rPr>
          <w:rFonts w:hint="eastAsia" w:ascii="仿宋" w:hAnsi="仿宋" w:eastAsia="仿宋"/>
          <w:szCs w:val="21"/>
        </w:rPr>
        <w:t>（</w:t>
      </w:r>
      <w:r>
        <w:rPr>
          <w:rFonts w:hint="eastAsia" w:ascii="仿宋" w:hAnsi="仿宋" w:eastAsia="仿宋" w:cs="仿宋"/>
          <w:bCs/>
          <w:szCs w:val="21"/>
        </w:rPr>
        <w:t>★项</w:t>
      </w:r>
      <w:r>
        <w:rPr>
          <w:rFonts w:hint="eastAsia" w:ascii="仿宋" w:hAnsi="仿宋" w:eastAsia="仿宋"/>
          <w:szCs w:val="21"/>
        </w:rPr>
        <w:t>证明材料须为政府主管部门【或</w:t>
      </w:r>
      <w:r>
        <w:rPr>
          <w:rStyle w:val="9"/>
          <w:rFonts w:hint="eastAsia" w:ascii="仿宋" w:hAnsi="仿宋" w:eastAsia="仿宋" w:cs="仿宋"/>
          <w:bCs/>
          <w:szCs w:val="21"/>
        </w:rPr>
        <w:t>具备CMA&lt;或CNAS&gt;资质检测机构】出具的</w:t>
      </w:r>
      <w:r>
        <w:rPr>
          <w:rFonts w:hint="eastAsia" w:ascii="仿宋" w:hAnsi="仿宋" w:eastAsia="仿宋"/>
          <w:szCs w:val="21"/>
        </w:rPr>
        <w:t>检测报告，非</w:t>
      </w:r>
      <w:r>
        <w:rPr>
          <w:rFonts w:hint="eastAsia" w:ascii="仿宋" w:hAnsi="仿宋" w:eastAsia="仿宋" w:cs="仿宋"/>
          <w:bCs/>
          <w:szCs w:val="21"/>
        </w:rPr>
        <w:t>★项</w:t>
      </w:r>
      <w:r>
        <w:rPr>
          <w:rFonts w:hint="eastAsia" w:ascii="仿宋" w:hAnsi="仿宋" w:eastAsia="仿宋"/>
          <w:szCs w:val="21"/>
        </w:rPr>
        <w:t>证明材料可为除彩页外的其他材料，</w:t>
      </w:r>
      <w:r>
        <w:rPr>
          <w:rFonts w:hint="eastAsia" w:ascii="仿宋" w:hAnsi="仿宋" w:eastAsia="仿宋"/>
          <w:b/>
          <w:bCs/>
          <w:szCs w:val="21"/>
        </w:rPr>
        <w:t>无证明材料则可不予采纳</w:t>
      </w:r>
      <w:r>
        <w:rPr>
          <w:rFonts w:hint="eastAsia" w:ascii="仿宋" w:hAnsi="仿宋" w:eastAsia="仿宋"/>
          <w:szCs w:val="21"/>
        </w:rPr>
        <w:t>；建议修改意见原则上须满足业界主流品牌同档次水平产品且不得为独家），</w:t>
      </w:r>
      <w:r>
        <w:rPr>
          <w:rFonts w:hint="eastAsia" w:ascii="仿宋" w:hAnsi="仿宋" w:eastAsia="仿宋"/>
          <w:b/>
          <w:szCs w:val="21"/>
          <w:u w:val="single"/>
        </w:rPr>
        <w:t>同时务必备注本品牌本规格型号产品相对应的真实指标并标注是否为独家（供医院汇总定稿版参数时选择）；</w:t>
      </w:r>
    </w:p>
    <w:p>
      <w:pPr>
        <w:spacing w:line="300" w:lineRule="exact"/>
        <w:ind w:firstLine="420" w:firstLineChars="200"/>
        <w:rPr>
          <w:rFonts w:ascii="仿宋" w:hAnsi="仿宋" w:eastAsia="仿宋"/>
          <w:bCs/>
          <w:szCs w:val="21"/>
        </w:rPr>
      </w:pPr>
      <w:r>
        <w:rPr>
          <w:rFonts w:hint="eastAsia" w:ascii="仿宋" w:hAnsi="仿宋" w:eastAsia="仿宋"/>
          <w:bCs/>
          <w:szCs w:val="21"/>
        </w:rPr>
        <w:t>3、院方根据各潜在供应商提供的配套耗材和须定期更换零部件的报价清单(须同步提供近2年内至少3家二级及以上医院发票原件扫描件和入库清单【遮挡无效】)进行设置相关报价限价，若潜在供应商均未提供报价清单（含发票原件扫描件和入库清单）则视同本项目无耗材和须定期更换零部件。</w:t>
      </w:r>
    </w:p>
    <w:p>
      <w:pPr>
        <w:spacing w:line="300" w:lineRule="exact"/>
        <w:ind w:firstLine="422" w:firstLineChars="200"/>
        <w:rPr>
          <w:rFonts w:ascii="仿宋" w:hAnsi="仿宋" w:eastAsia="仿宋"/>
          <w:szCs w:val="21"/>
        </w:rPr>
      </w:pPr>
      <w:r>
        <w:rPr>
          <w:rFonts w:hint="eastAsia" w:ascii="仿宋" w:hAnsi="仿宋" w:eastAsia="仿宋"/>
          <w:b/>
          <w:szCs w:val="21"/>
        </w:rPr>
        <w:t>4、杜绝两现象：</w:t>
      </w:r>
      <w:r>
        <w:rPr>
          <w:rFonts w:hint="eastAsia" w:ascii="仿宋" w:hAnsi="仿宋" w:eastAsia="仿宋"/>
          <w:bCs/>
          <w:szCs w:val="21"/>
        </w:rPr>
        <w:t>一是整机保修3年，保修范围不包含须定期更换零部件，须定期更换零部件报价清单如下...；二是将须定期更换零部件变为耗材，恶意降低货物价格，提高耗材价（或直接提高耗材报价）。</w:t>
      </w:r>
    </w:p>
    <w:p>
      <w:pPr>
        <w:spacing w:line="300" w:lineRule="exact"/>
        <w:ind w:firstLine="420" w:firstLineChars="200"/>
        <w:rPr>
          <w:rFonts w:ascii="仿宋" w:hAnsi="仿宋" w:eastAsia="仿宋"/>
          <w:b/>
          <w:szCs w:val="21"/>
        </w:rPr>
      </w:pPr>
      <w:r>
        <w:rPr>
          <w:rFonts w:hint="eastAsia" w:ascii="仿宋" w:hAnsi="仿宋" w:eastAsia="仿宋" w:cs="仿宋"/>
          <w:bCs/>
          <w:szCs w:val="21"/>
        </w:rPr>
        <w:t>5、</w:t>
      </w:r>
      <w:r>
        <w:rPr>
          <w:rFonts w:hint="eastAsia" w:ascii="仿宋" w:hAnsi="仿宋" w:eastAsia="仿宋" w:cs="仿宋"/>
          <w:bCs/>
          <w:color w:val="FF0000"/>
          <w:szCs w:val="21"/>
        </w:rPr>
        <w:t>拟设置为</w:t>
      </w:r>
      <w:r>
        <w:rPr>
          <w:rFonts w:hint="eastAsia" w:ascii="仿宋" w:hAnsi="仿宋" w:eastAsia="仿宋" w:cs="仿宋"/>
          <w:bCs/>
          <w:szCs w:val="21"/>
        </w:rPr>
        <w:t>★项参数</w:t>
      </w:r>
      <w:r>
        <w:rPr>
          <w:rFonts w:hint="eastAsia" w:ascii="仿宋" w:hAnsi="仿宋" w:eastAsia="仿宋" w:cs="仿宋"/>
          <w:bCs/>
          <w:color w:val="FF0000"/>
          <w:szCs w:val="21"/>
        </w:rPr>
        <w:t>(★项标准：拟购设备核心参数指标</w:t>
      </w:r>
      <w:r>
        <w:rPr>
          <w:rFonts w:hint="eastAsia" w:ascii="仿宋" w:hAnsi="仿宋" w:eastAsia="仿宋" w:cs="仿宋"/>
          <w:b/>
          <w:szCs w:val="21"/>
        </w:rPr>
        <w:t>【如有不妥，请提出并提供权威部门证明文件，否则不予采纳】)</w:t>
      </w:r>
      <w:r>
        <w:rPr>
          <w:rFonts w:hint="eastAsia" w:ascii="仿宋" w:hAnsi="仿宋" w:eastAsia="仿宋" w:cs="仿宋"/>
          <w:bCs/>
          <w:szCs w:val="21"/>
        </w:rPr>
        <w:t>要求投标人在投标文件中所提供的证明材料须为政府主管部门</w:t>
      </w:r>
      <w:r>
        <w:rPr>
          <w:rFonts w:hint="eastAsia" w:ascii="仿宋" w:hAnsi="仿宋" w:eastAsia="仿宋" w:cs="仿宋"/>
          <w:b/>
          <w:szCs w:val="21"/>
        </w:rPr>
        <w:t>（</w:t>
      </w:r>
      <w:r>
        <w:rPr>
          <w:rStyle w:val="9"/>
          <w:rFonts w:hint="eastAsia" w:ascii="仿宋" w:hAnsi="仿宋" w:eastAsia="仿宋" w:cs="仿宋"/>
          <w:b/>
          <w:szCs w:val="21"/>
        </w:rPr>
        <w:t>或具备CMA【或CNAS】资质检测机构）</w:t>
      </w:r>
      <w:r>
        <w:rPr>
          <w:rStyle w:val="9"/>
          <w:rFonts w:hint="eastAsia" w:ascii="仿宋" w:hAnsi="仿宋" w:eastAsia="仿宋" w:cs="仿宋"/>
          <w:bCs/>
          <w:szCs w:val="21"/>
        </w:rPr>
        <w:t>出具的质检报告原件扫描件（政府主管部门</w:t>
      </w:r>
      <w:r>
        <w:rPr>
          <w:rFonts w:hint="eastAsia" w:ascii="仿宋" w:hAnsi="仿宋" w:eastAsia="仿宋" w:cs="仿宋"/>
          <w:bCs/>
          <w:szCs w:val="21"/>
        </w:rPr>
        <w:t>如国家</w:t>
      </w:r>
      <w:r>
        <w:rPr>
          <w:rStyle w:val="9"/>
          <w:rFonts w:hint="eastAsia" w:ascii="仿宋" w:hAnsi="仿宋" w:eastAsia="仿宋" w:cs="仿宋"/>
          <w:bCs/>
          <w:szCs w:val="21"/>
        </w:rPr>
        <w:t>食药监局或其下属单位或省级医疗器械检验机构或省级</w:t>
      </w:r>
      <w:bookmarkStart w:id="0" w:name="_GoBack"/>
      <w:bookmarkEnd w:id="0"/>
      <w:r>
        <w:rPr>
          <w:rStyle w:val="9"/>
          <w:rFonts w:hint="eastAsia" w:ascii="仿宋" w:hAnsi="仿宋" w:eastAsia="仿宋" w:cs="仿宋"/>
          <w:bCs/>
          <w:szCs w:val="21"/>
        </w:rPr>
        <w:t>食品药品检验机构等）。</w:t>
      </w:r>
    </w:p>
    <w:p>
      <w:pPr>
        <w:spacing w:line="300" w:lineRule="exact"/>
        <w:ind w:firstLine="420" w:firstLineChars="200"/>
        <w:rPr>
          <w:rFonts w:ascii="仿宋" w:hAnsi="仿宋" w:eastAsia="仿宋"/>
          <w:bCs/>
          <w:szCs w:val="21"/>
        </w:rPr>
      </w:pPr>
      <w:r>
        <w:rPr>
          <w:rFonts w:hint="eastAsia" w:ascii="仿宋" w:hAnsi="仿宋" w:eastAsia="仿宋"/>
          <w:bCs/>
          <w:szCs w:val="21"/>
        </w:rPr>
        <w:t>附件：表1-4</w:t>
      </w:r>
    </w:p>
    <w:p>
      <w:pPr>
        <w:pStyle w:val="5"/>
        <w:ind w:firstLine="0" w:firstLineChars="0"/>
      </w:pPr>
    </w:p>
    <w:p>
      <w:pPr>
        <w:spacing w:line="320" w:lineRule="exact"/>
        <w:rPr>
          <w:rFonts w:ascii="仿宋" w:hAnsi="仿宋" w:eastAsia="仿宋"/>
          <w:b/>
          <w:szCs w:val="21"/>
        </w:rPr>
      </w:pPr>
      <w:r>
        <w:rPr>
          <w:rFonts w:hint="eastAsia" w:ascii="仿宋" w:hAnsi="仿宋" w:eastAsia="仿宋"/>
          <w:b/>
          <w:szCs w:val="21"/>
        </w:rPr>
        <w:t>第一部分：拟购项目参数结构</w:t>
      </w:r>
    </w:p>
    <w:tbl>
      <w:tblPr>
        <w:tblStyle w:val="7"/>
        <w:tblW w:w="9645"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76"/>
        <w:gridCol w:w="734"/>
        <w:gridCol w:w="3630"/>
        <w:gridCol w:w="945"/>
        <w:gridCol w:w="705"/>
        <w:gridCol w:w="975"/>
        <w:gridCol w:w="1980"/>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85" w:type="dxa"/>
            <w:gridSpan w:val="4"/>
          </w:tcPr>
          <w:p>
            <w:pPr>
              <w:spacing w:line="320" w:lineRule="exact"/>
              <w:jc w:val="center"/>
              <w:rPr>
                <w:rFonts w:ascii="仿宋" w:hAnsi="仿宋" w:eastAsia="仿宋"/>
                <w:bCs/>
                <w:szCs w:val="21"/>
              </w:rPr>
            </w:pPr>
            <w:r>
              <w:rPr>
                <w:rFonts w:hint="eastAsia" w:ascii="仿宋" w:hAnsi="仿宋" w:eastAsia="仿宋"/>
                <w:bCs/>
                <w:szCs w:val="21"/>
              </w:rPr>
              <w:t>本项目参数拟设置情况</w:t>
            </w:r>
          </w:p>
        </w:tc>
        <w:tc>
          <w:tcPr>
            <w:tcW w:w="705" w:type="dxa"/>
            <w:vMerge w:val="restart"/>
          </w:tcPr>
          <w:p>
            <w:pPr>
              <w:spacing w:line="320" w:lineRule="exact"/>
              <w:jc w:val="center"/>
              <w:rPr>
                <w:rFonts w:ascii="仿宋" w:hAnsi="仿宋"/>
                <w:bCs/>
                <w:szCs w:val="21"/>
              </w:rPr>
            </w:pPr>
            <w:r>
              <w:rPr>
                <w:rFonts w:hint="eastAsia" w:ascii="仿宋" w:hAnsi="仿宋" w:eastAsia="仿宋"/>
                <w:bCs/>
                <w:szCs w:val="21"/>
              </w:rPr>
              <w:t>响应情况</w:t>
            </w:r>
          </w:p>
        </w:tc>
        <w:tc>
          <w:tcPr>
            <w:tcW w:w="975" w:type="dxa"/>
            <w:vMerge w:val="restart"/>
          </w:tcPr>
          <w:p>
            <w:pPr>
              <w:spacing w:line="320" w:lineRule="exact"/>
              <w:jc w:val="center"/>
              <w:rPr>
                <w:rFonts w:ascii="仿宋" w:hAnsi="仿宋" w:eastAsia="仿宋"/>
                <w:bCs/>
                <w:szCs w:val="21"/>
              </w:rPr>
            </w:pPr>
            <w:r>
              <w:rPr>
                <w:rFonts w:hint="eastAsia" w:ascii="仿宋" w:hAnsi="仿宋" w:eastAsia="仿宋"/>
                <w:bCs/>
                <w:szCs w:val="21"/>
              </w:rPr>
              <w:t>建议修改指标</w:t>
            </w:r>
          </w:p>
        </w:tc>
        <w:tc>
          <w:tcPr>
            <w:tcW w:w="1980" w:type="dxa"/>
            <w:vMerge w:val="restart"/>
          </w:tcPr>
          <w:p>
            <w:pPr>
              <w:spacing w:line="320" w:lineRule="exact"/>
              <w:jc w:val="center"/>
              <w:rPr>
                <w:rFonts w:ascii="仿宋" w:hAnsi="仿宋" w:eastAsia="仿宋"/>
                <w:bCs/>
                <w:szCs w:val="21"/>
              </w:rPr>
            </w:pPr>
            <w:r>
              <w:rPr>
                <w:rFonts w:hint="eastAsia" w:ascii="仿宋" w:hAnsi="仿宋" w:eastAsia="仿宋"/>
                <w:bCs/>
                <w:szCs w:val="21"/>
              </w:rPr>
              <w:t>备注（真实指标、是否独家、是否提供有效检测报告）</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spacing w:line="320" w:lineRule="exact"/>
              <w:jc w:val="center"/>
              <w:rPr>
                <w:rFonts w:ascii="仿宋" w:hAnsi="仿宋" w:eastAsia="仿宋"/>
                <w:bCs/>
                <w:szCs w:val="21"/>
              </w:rPr>
            </w:pPr>
            <w:r>
              <w:rPr>
                <w:rFonts w:hint="eastAsia" w:ascii="仿宋" w:hAnsi="仿宋" w:eastAsia="仿宋"/>
                <w:bCs/>
                <w:szCs w:val="21"/>
              </w:rPr>
              <w:t>序号</w:t>
            </w:r>
          </w:p>
        </w:tc>
        <w:tc>
          <w:tcPr>
            <w:tcW w:w="734" w:type="dxa"/>
          </w:tcPr>
          <w:p>
            <w:pPr>
              <w:spacing w:line="320" w:lineRule="exact"/>
              <w:jc w:val="center"/>
              <w:rPr>
                <w:rFonts w:ascii="仿宋" w:hAnsi="仿宋" w:eastAsia="仿宋"/>
                <w:bCs/>
                <w:szCs w:val="21"/>
              </w:rPr>
            </w:pPr>
            <w:r>
              <w:rPr>
                <w:rFonts w:hint="eastAsia" w:ascii="仿宋" w:hAnsi="仿宋" w:eastAsia="仿宋"/>
                <w:bCs/>
                <w:szCs w:val="21"/>
              </w:rPr>
              <w:t>名称</w:t>
            </w:r>
          </w:p>
        </w:tc>
        <w:tc>
          <w:tcPr>
            <w:tcW w:w="3630" w:type="dxa"/>
          </w:tcPr>
          <w:p>
            <w:pPr>
              <w:spacing w:line="320" w:lineRule="exact"/>
              <w:jc w:val="center"/>
              <w:rPr>
                <w:rFonts w:ascii="仿宋" w:hAnsi="仿宋" w:eastAsia="仿宋"/>
                <w:bCs/>
                <w:szCs w:val="21"/>
              </w:rPr>
            </w:pPr>
            <w:r>
              <w:rPr>
                <w:rFonts w:hint="eastAsia" w:ascii="仿宋" w:hAnsi="仿宋" w:eastAsia="仿宋"/>
                <w:bCs/>
                <w:szCs w:val="21"/>
              </w:rPr>
              <w:t>参数设置情况</w:t>
            </w:r>
          </w:p>
        </w:tc>
        <w:tc>
          <w:tcPr>
            <w:tcW w:w="945" w:type="dxa"/>
          </w:tcPr>
          <w:p>
            <w:pPr>
              <w:spacing w:line="320" w:lineRule="exact"/>
              <w:jc w:val="center"/>
              <w:rPr>
                <w:rFonts w:ascii="仿宋" w:hAnsi="仿宋" w:eastAsia="仿宋"/>
                <w:bCs/>
                <w:szCs w:val="21"/>
              </w:rPr>
            </w:pPr>
            <w:r>
              <w:rPr>
                <w:rFonts w:hint="eastAsia" w:ascii="仿宋" w:hAnsi="仿宋" w:eastAsia="仿宋"/>
                <w:bCs/>
                <w:szCs w:val="21"/>
              </w:rPr>
              <w:t>是否设置为★</w:t>
            </w:r>
          </w:p>
        </w:tc>
        <w:tc>
          <w:tcPr>
            <w:tcW w:w="705" w:type="dxa"/>
            <w:vMerge w:val="continue"/>
          </w:tcPr>
          <w:p>
            <w:pPr>
              <w:spacing w:line="320" w:lineRule="exact"/>
              <w:rPr>
                <w:rFonts w:ascii="仿宋" w:hAnsi="仿宋" w:eastAsia="仿宋"/>
                <w:bCs/>
                <w:szCs w:val="21"/>
              </w:rPr>
            </w:pPr>
          </w:p>
        </w:tc>
        <w:tc>
          <w:tcPr>
            <w:tcW w:w="975" w:type="dxa"/>
            <w:vMerge w:val="continue"/>
          </w:tcPr>
          <w:p>
            <w:pPr>
              <w:spacing w:line="320" w:lineRule="exact"/>
              <w:rPr>
                <w:rFonts w:ascii="仿宋" w:hAnsi="仿宋" w:eastAsia="仿宋"/>
                <w:bCs/>
                <w:szCs w:val="21"/>
              </w:rPr>
            </w:pPr>
          </w:p>
        </w:tc>
        <w:tc>
          <w:tcPr>
            <w:tcW w:w="1980" w:type="dxa"/>
            <w:vMerge w:val="continue"/>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1.1</w:t>
            </w:r>
          </w:p>
        </w:tc>
        <w:tc>
          <w:tcPr>
            <w:tcW w:w="734" w:type="dxa"/>
          </w:tcPr>
          <w:p>
            <w:pPr>
              <w:spacing w:line="320" w:lineRule="exact"/>
              <w:rPr>
                <w:rFonts w:ascii="仿宋" w:hAnsi="仿宋" w:eastAsia="仿宋"/>
                <w:bCs/>
                <w:szCs w:val="21"/>
              </w:rPr>
            </w:pPr>
            <w:r>
              <w:rPr>
                <w:rFonts w:hint="eastAsia" w:ascii="仿宋" w:hAnsi="仿宋" w:eastAsia="仿宋"/>
                <w:b/>
                <w:bCs w:val="0"/>
                <w:szCs w:val="21"/>
              </w:rPr>
              <w:t>牙科椅</w:t>
            </w:r>
          </w:p>
        </w:tc>
        <w:tc>
          <w:tcPr>
            <w:tcW w:w="3630" w:type="dxa"/>
            <w:vAlign w:val="center"/>
          </w:tcPr>
          <w:p>
            <w:pPr>
              <w:spacing w:line="320" w:lineRule="exact"/>
              <w:jc w:val="both"/>
              <w:rPr>
                <w:rFonts w:hint="eastAsia" w:ascii="仿宋" w:hAnsi="仿宋" w:eastAsia="仿宋"/>
                <w:bCs/>
                <w:szCs w:val="21"/>
              </w:rPr>
            </w:pPr>
            <w:r>
              <w:rPr>
                <w:rFonts w:hint="eastAsia" w:ascii="仿宋" w:hAnsi="仿宋" w:eastAsia="仿宋"/>
                <w:bCs/>
                <w:szCs w:val="21"/>
              </w:rPr>
              <w:t>座垫面离地面最低高度：400毫米</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1.2</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vAlign w:val="center"/>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靠背后倾范围：-5—80度</w:t>
            </w:r>
          </w:p>
        </w:tc>
        <w:tc>
          <w:tcPr>
            <w:tcW w:w="945" w:type="dxa"/>
          </w:tcPr>
          <w:p>
            <w:pPr>
              <w:numPr>
                <w:ilvl w:val="0"/>
                <w:numId w:val="0"/>
              </w:numPr>
              <w:spacing w:line="320" w:lineRule="exact"/>
              <w:ind w:leftChars="0"/>
              <w:rPr>
                <w:rFonts w:hint="eastAsia" w:ascii="仿宋" w:hAnsi="仿宋" w:eastAsia="仿宋"/>
                <w:bCs/>
                <w:szCs w:val="21"/>
                <w:lang w:val="en-US" w:eastAsia="zh-CN"/>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2.1</w:t>
            </w:r>
          </w:p>
        </w:tc>
        <w:tc>
          <w:tcPr>
            <w:tcW w:w="734"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
                <w:bCs w:val="0"/>
                <w:szCs w:val="21"/>
                <w:lang w:val="en-US" w:eastAsia="zh-CN"/>
              </w:rPr>
              <w:t>治疗机</w:t>
            </w:r>
          </w:p>
        </w:tc>
        <w:tc>
          <w:tcPr>
            <w:tcW w:w="3630" w:type="dxa"/>
            <w:vAlign w:val="center"/>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高速涡轮手机转速≥300000 r/min</w:t>
            </w:r>
          </w:p>
        </w:tc>
        <w:tc>
          <w:tcPr>
            <w:tcW w:w="945" w:type="dxa"/>
          </w:tcPr>
          <w:p>
            <w:pPr>
              <w:numPr>
                <w:ilvl w:val="0"/>
                <w:numId w:val="0"/>
              </w:numPr>
              <w:spacing w:line="320" w:lineRule="exact"/>
              <w:ind w:leftChars="0"/>
              <w:rPr>
                <w:rFonts w:hint="eastAsia" w:ascii="仿宋" w:hAnsi="仿宋" w:eastAsia="仿宋"/>
                <w:bCs/>
                <w:szCs w:val="21"/>
                <w:lang w:val="en-US" w:eastAsia="zh-CN"/>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2.2</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vAlign w:val="center"/>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低速气马达手机转速≥14000r/min</w:t>
            </w:r>
          </w:p>
        </w:tc>
        <w:tc>
          <w:tcPr>
            <w:tcW w:w="945" w:type="dxa"/>
          </w:tcPr>
          <w:p>
            <w:pPr>
              <w:numPr>
                <w:ilvl w:val="0"/>
                <w:numId w:val="0"/>
              </w:numPr>
              <w:spacing w:line="320" w:lineRule="exact"/>
              <w:ind w:leftChars="0"/>
              <w:rPr>
                <w:rFonts w:hint="eastAsia" w:ascii="仿宋" w:hAnsi="仿宋" w:eastAsia="仿宋"/>
                <w:bCs/>
                <w:szCs w:val="21"/>
                <w:lang w:val="en-US" w:eastAsia="zh-CN"/>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2.3</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vAlign w:val="center"/>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低速气马达手机转速≥14000r/min</w:t>
            </w:r>
          </w:p>
        </w:tc>
        <w:tc>
          <w:tcPr>
            <w:tcW w:w="945" w:type="dxa"/>
          </w:tcPr>
          <w:p>
            <w:pPr>
              <w:numPr>
                <w:ilvl w:val="0"/>
                <w:numId w:val="0"/>
              </w:numPr>
              <w:spacing w:line="320" w:lineRule="exact"/>
              <w:ind w:leftChars="0"/>
              <w:rPr>
                <w:rFonts w:hint="eastAsia" w:ascii="仿宋" w:hAnsi="仿宋" w:eastAsia="仿宋"/>
                <w:bCs/>
                <w:szCs w:val="21"/>
                <w:lang w:val="en-US" w:eastAsia="zh-CN"/>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trPr>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2.4</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vAlign w:val="center"/>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漱口水温度：40℃±5℃</w:t>
            </w:r>
          </w:p>
        </w:tc>
        <w:tc>
          <w:tcPr>
            <w:tcW w:w="945" w:type="dxa"/>
          </w:tcPr>
          <w:p>
            <w:pPr>
              <w:numPr>
                <w:ilvl w:val="0"/>
                <w:numId w:val="0"/>
              </w:numPr>
              <w:spacing w:line="320" w:lineRule="exact"/>
              <w:ind w:leftChars="0"/>
              <w:rPr>
                <w:rFonts w:hint="eastAsia" w:ascii="仿宋" w:hAnsi="仿宋" w:eastAsia="仿宋"/>
                <w:bCs/>
                <w:szCs w:val="21"/>
                <w:lang w:val="en-US" w:eastAsia="zh-CN"/>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2.5</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vAlign w:val="center"/>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冷光口腔灯：3000～40000Lux</w:t>
            </w:r>
          </w:p>
        </w:tc>
        <w:tc>
          <w:tcPr>
            <w:tcW w:w="945" w:type="dxa"/>
          </w:tcPr>
          <w:p>
            <w:pPr>
              <w:numPr>
                <w:ilvl w:val="0"/>
                <w:numId w:val="0"/>
              </w:numPr>
              <w:spacing w:line="320" w:lineRule="exact"/>
              <w:ind w:leftChars="0"/>
              <w:rPr>
                <w:rFonts w:hint="eastAsia" w:ascii="仿宋" w:hAnsi="仿宋" w:eastAsia="仿宋"/>
                <w:bCs/>
                <w:szCs w:val="21"/>
                <w:lang w:val="en-US" w:eastAsia="zh-CN"/>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3.1</w:t>
            </w:r>
          </w:p>
        </w:tc>
        <w:tc>
          <w:tcPr>
            <w:tcW w:w="734"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
                <w:bCs w:val="0"/>
                <w:szCs w:val="21"/>
                <w:lang w:val="en-US" w:eastAsia="zh-CN"/>
              </w:rPr>
              <w:t>医生操作治疗台</w:t>
            </w:r>
          </w:p>
          <w:p>
            <w:pPr>
              <w:numPr>
                <w:ilvl w:val="0"/>
                <w:numId w:val="0"/>
              </w:numPr>
              <w:spacing w:line="320" w:lineRule="exact"/>
              <w:ind w:leftChars="0"/>
              <w:rPr>
                <w:rFonts w:hint="eastAsia" w:ascii="仿宋" w:hAnsi="仿宋" w:eastAsia="仿宋"/>
                <w:bCs/>
                <w:szCs w:val="21"/>
                <w:lang w:val="en-US" w:eastAsia="zh-CN"/>
              </w:rPr>
            </w:pPr>
          </w:p>
        </w:tc>
        <w:tc>
          <w:tcPr>
            <w:tcW w:w="3630" w:type="dxa"/>
            <w:vAlign w:val="center"/>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触屏设计,戴手套操作也不影响，避免了长期使用按键穿孔的故障。</w:t>
            </w:r>
          </w:p>
        </w:tc>
        <w:tc>
          <w:tcPr>
            <w:tcW w:w="945" w:type="dxa"/>
          </w:tcPr>
          <w:p>
            <w:pPr>
              <w:numPr>
                <w:ilvl w:val="0"/>
                <w:numId w:val="0"/>
              </w:numPr>
              <w:spacing w:line="320" w:lineRule="exact"/>
              <w:ind w:leftChars="0"/>
              <w:rPr>
                <w:rFonts w:hint="eastAsia" w:ascii="仿宋" w:hAnsi="仿宋" w:eastAsia="仿宋"/>
                <w:bCs/>
                <w:szCs w:val="21"/>
                <w:lang w:val="en-US" w:eastAsia="zh-CN"/>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3.2</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vAlign w:val="center"/>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具有术后清洁椅位：一键自动升高、自动关闭口腔灯、自动冲痰盂</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3.3</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具备3组9个可编程序设定记忆椅位功能。</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3.4</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吐痰复位功能，帮助患者运动到吐痰椅位且能记忆返回。</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3.5</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全管道温水功能设计，三用枪、手机管、洁牙机水路都可以加热，减少冷水刺激治疗过程更舒适。</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3.6</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内置LED观片灯。</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3.7</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具备动态器械防回吸功能。</w:t>
            </w:r>
            <w:r>
              <w:rPr>
                <w:rFonts w:hint="eastAsia" w:ascii="仿宋" w:hAnsi="仿宋" w:eastAsia="仿宋"/>
                <w:bCs/>
                <w:szCs w:val="21"/>
                <w:lang w:val="en-US" w:eastAsia="zh-CN"/>
              </w:rPr>
              <w:tab/>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3.8</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具备动态器械互锁功能。</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3.9</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全金属器械盘设计，结实耐用散热效果好，保障电子设备如电动马达、洁牙机的使用。</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3.10</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器械臂气控锁按钮与治疗台拉手整体设计，器械臂高度调节轻松方便。</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3.11</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具备水气一键开关。</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3.12</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配备一体式内窥镜。</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3.13</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配备内置洁牙机。</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4.1</w:t>
            </w:r>
          </w:p>
        </w:tc>
        <w:tc>
          <w:tcPr>
            <w:tcW w:w="734"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
                <w:bCs w:val="0"/>
                <w:szCs w:val="21"/>
                <w:lang w:val="en-US" w:eastAsia="zh-CN"/>
              </w:rPr>
              <w:t>助手操作治疗台</w:t>
            </w: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触屏设计,戴手套操作也不影响，还避免了长期使用按键穿孔的故障。</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4.2</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助手位器械采用轻触式气控设计。</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4.3</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助手位设置有P1/P2/P3记忆位控制。</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4.4</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多功能助手位可控制冷、热漱口水，冲痰，椅位升降仰俯。</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4.5</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助手位标配三用枪、可拆卸式强弱吸、预留内置式光固化接口。</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4.6</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助手位活动臂可三关节调节，旋转角度180度。</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5.1</w:t>
            </w:r>
          </w:p>
        </w:tc>
        <w:tc>
          <w:tcPr>
            <w:tcW w:w="734" w:type="dxa"/>
          </w:tcPr>
          <w:p>
            <w:pPr>
              <w:numPr>
                <w:ilvl w:val="0"/>
                <w:numId w:val="0"/>
              </w:numPr>
              <w:spacing w:line="320" w:lineRule="exact"/>
              <w:ind w:leftChars="0"/>
              <w:rPr>
                <w:rFonts w:hint="eastAsia" w:ascii="仿宋" w:hAnsi="仿宋" w:eastAsia="仿宋"/>
                <w:b/>
                <w:bCs w:val="0"/>
                <w:szCs w:val="21"/>
                <w:lang w:val="en-US" w:eastAsia="zh-CN"/>
              </w:rPr>
            </w:pPr>
            <w:r>
              <w:rPr>
                <w:rFonts w:hint="eastAsia" w:ascii="仿宋" w:hAnsi="仿宋" w:eastAsia="仿宋"/>
                <w:b/>
                <w:bCs w:val="0"/>
                <w:szCs w:val="21"/>
                <w:lang w:val="en-US" w:eastAsia="zh-CN"/>
              </w:rPr>
              <w:t>多功能脚踏开关</w:t>
            </w:r>
          </w:p>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可控制设备的升降仰俯运动。</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5.2</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可控制口腔灯的开关。</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5.3</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可设置手机喷水/无水操作</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5.4</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可控制漱口水开关。</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5,5</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设置有吹屑键，提高医生操作效率。</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5.6</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大踏板按压式设计，操作无噪音，控制阀寿命长</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5.7</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双层不锈钢连接管，避免长期拖拽外皮破损腐蚀内部管路。</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6.1</w:t>
            </w:r>
          </w:p>
        </w:tc>
        <w:tc>
          <w:tcPr>
            <w:tcW w:w="734"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
                <w:bCs w:val="0"/>
                <w:szCs w:val="21"/>
                <w:lang w:val="en-US" w:eastAsia="zh-CN"/>
              </w:rPr>
              <w:t>侧箱操作台</w:t>
            </w: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可旋转90°机箱设计，方便四手操作、左手操作和维修。</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6.2</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分体机箱设计，连接杆居中使用过程更平稳。</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6.3</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水、气、电分离设计</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6.4</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标准强弱吸唾系统，内置过滤网。</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6.5</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标配强吸消音设计，可选配中央负压系统。</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6.6</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使用蒸馏水/消毒液上方注水方式，无需来回拆卸蒸馏水瓶。</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6.7</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内置不锈钢恒温漱口水系统</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6.8</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可180度旋转的全陶瓷痰盂，可拆卸清洁消毒</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6.9</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标配多功能托盘,可放置漱口杯，纸巾，可以给手机充电。</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7.1</w:t>
            </w:r>
          </w:p>
        </w:tc>
        <w:tc>
          <w:tcPr>
            <w:tcW w:w="734"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
                <w:bCs w:val="0"/>
                <w:szCs w:val="21"/>
                <w:lang w:val="en-US" w:eastAsia="zh-CN"/>
              </w:rPr>
              <w:t>手术灯</w:t>
            </w: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三旋转轴设计的欧式六孔冷光源无影灯，可黄白光切换，可强弱光无级感应式调节。采用美国科瑞灯珠，高流明、低光衰、高显指，接近自然光舒适、环保耐用。</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7.2</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采用意式倒吊式全铝灯臂，操作轻巧，随放随停。</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8.1</w:t>
            </w:r>
          </w:p>
        </w:tc>
        <w:tc>
          <w:tcPr>
            <w:tcW w:w="734"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
                <w:bCs w:val="0"/>
                <w:szCs w:val="21"/>
                <w:lang w:val="en-US" w:eastAsia="zh-CN"/>
              </w:rPr>
              <w:t>卫生设计</w:t>
            </w: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皮垫由整块亲肤皮缝制而成。</w:t>
            </w:r>
          </w:p>
          <w:p>
            <w:pPr>
              <w:numPr>
                <w:ilvl w:val="0"/>
                <w:numId w:val="0"/>
              </w:numPr>
              <w:spacing w:line="320" w:lineRule="exact"/>
              <w:ind w:leftChars="0"/>
              <w:rPr>
                <w:rFonts w:hint="eastAsia" w:ascii="仿宋" w:hAnsi="仿宋" w:eastAsia="仿宋"/>
                <w:bCs/>
                <w:szCs w:val="21"/>
                <w:lang w:val="en-US" w:eastAsia="zh-CN"/>
              </w:rPr>
            </w:pP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8.2</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配置亚克力器械盘面罩和可135度消毒的硅胶拉手护套。</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8.3</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强弱吸可拆卸消毒。</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9.1</w:t>
            </w:r>
          </w:p>
        </w:tc>
        <w:tc>
          <w:tcPr>
            <w:tcW w:w="734"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
                <w:bCs w:val="0"/>
                <w:szCs w:val="21"/>
                <w:lang w:val="en-US" w:eastAsia="zh-CN"/>
              </w:rPr>
              <w:t>安全保护设计</w:t>
            </w: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设置有紧急开关，内凹设计避免医生误操作。</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9.2</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机椅互锁系统。</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9.3</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牙科椅具备紧急制动安全设计，在牙椅运行中，按任意操作键即停止运行，保障安全。</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9.4</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牙科椅具备一键急救椅位设计，出现过敏性休克或昏迷时，能快速达到-5度急救位置进行自苏醒或人工急救操作，避免因慌乱造成意外事故发生。</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6" w:type="dxa"/>
          </w:tcPr>
          <w:p>
            <w:pPr>
              <w:numPr>
                <w:ilvl w:val="0"/>
                <w:numId w:val="0"/>
              </w:numPr>
              <w:spacing w:line="320" w:lineRule="exact"/>
              <w:ind w:leftChars="0"/>
              <w:rPr>
                <w:rFonts w:hint="default" w:ascii="仿宋" w:hAnsi="仿宋" w:eastAsia="仿宋"/>
                <w:bCs/>
                <w:szCs w:val="21"/>
                <w:lang w:val="en-US" w:eastAsia="zh-CN"/>
              </w:rPr>
            </w:pPr>
            <w:r>
              <w:rPr>
                <w:rFonts w:hint="eastAsia" w:ascii="仿宋" w:hAnsi="仿宋" w:eastAsia="仿宋"/>
                <w:bCs/>
                <w:szCs w:val="21"/>
                <w:lang w:val="en-US" w:eastAsia="zh-CN"/>
              </w:rPr>
              <w:t>9.5</w:t>
            </w:r>
          </w:p>
        </w:tc>
        <w:tc>
          <w:tcPr>
            <w:tcW w:w="734" w:type="dxa"/>
          </w:tcPr>
          <w:p>
            <w:pPr>
              <w:numPr>
                <w:ilvl w:val="0"/>
                <w:numId w:val="0"/>
              </w:numPr>
              <w:spacing w:line="320" w:lineRule="exact"/>
              <w:ind w:leftChars="0"/>
              <w:rPr>
                <w:rFonts w:hint="eastAsia" w:ascii="仿宋" w:hAnsi="仿宋" w:eastAsia="仿宋"/>
                <w:bCs/>
                <w:szCs w:val="21"/>
                <w:lang w:val="en-US" w:eastAsia="zh-CN"/>
              </w:rPr>
            </w:pPr>
          </w:p>
        </w:tc>
        <w:tc>
          <w:tcPr>
            <w:tcW w:w="3630" w:type="dxa"/>
          </w:tcPr>
          <w:p>
            <w:pPr>
              <w:numPr>
                <w:ilvl w:val="0"/>
                <w:numId w:val="0"/>
              </w:numPr>
              <w:spacing w:line="320" w:lineRule="exact"/>
              <w:ind w:leftChars="0"/>
              <w:rPr>
                <w:rFonts w:hint="eastAsia" w:ascii="仿宋" w:hAnsi="仿宋" w:eastAsia="仿宋"/>
                <w:bCs/>
                <w:szCs w:val="21"/>
                <w:lang w:val="en-US" w:eastAsia="zh-CN"/>
              </w:rPr>
            </w:pPr>
            <w:r>
              <w:rPr>
                <w:rFonts w:hint="eastAsia" w:ascii="仿宋" w:hAnsi="仿宋" w:eastAsia="仿宋"/>
                <w:bCs/>
                <w:szCs w:val="21"/>
                <w:lang w:val="en-US" w:eastAsia="zh-CN"/>
              </w:rPr>
              <w:t>手术椅靠背遇阻保护设计，下降过程遇到障碍物会自动停止且小幅上升。</w:t>
            </w:r>
          </w:p>
        </w:tc>
        <w:tc>
          <w:tcPr>
            <w:tcW w:w="945" w:type="dxa"/>
          </w:tcPr>
          <w:p>
            <w:pPr>
              <w:spacing w:line="320" w:lineRule="exact"/>
              <w:rPr>
                <w:rFonts w:ascii="仿宋" w:hAnsi="仿宋" w:eastAsia="仿宋"/>
                <w:bCs/>
                <w:szCs w:val="21"/>
              </w:rPr>
            </w:pPr>
          </w:p>
        </w:tc>
        <w:tc>
          <w:tcPr>
            <w:tcW w:w="705" w:type="dxa"/>
          </w:tcPr>
          <w:p>
            <w:pPr>
              <w:spacing w:line="320" w:lineRule="exact"/>
              <w:rPr>
                <w:rFonts w:ascii="仿宋" w:hAnsi="仿宋" w:eastAsia="仿宋"/>
                <w:bCs/>
                <w:szCs w:val="21"/>
              </w:rPr>
            </w:pPr>
          </w:p>
        </w:tc>
        <w:tc>
          <w:tcPr>
            <w:tcW w:w="975" w:type="dxa"/>
          </w:tcPr>
          <w:p>
            <w:pPr>
              <w:spacing w:line="320" w:lineRule="exact"/>
              <w:rPr>
                <w:rFonts w:ascii="仿宋" w:hAnsi="仿宋" w:eastAsia="仿宋"/>
                <w:bCs/>
                <w:szCs w:val="21"/>
              </w:rPr>
            </w:pPr>
          </w:p>
        </w:tc>
        <w:tc>
          <w:tcPr>
            <w:tcW w:w="1980" w:type="dxa"/>
          </w:tcPr>
          <w:p>
            <w:pPr>
              <w:spacing w:line="320" w:lineRule="exact"/>
              <w:rPr>
                <w:rFonts w:ascii="仿宋" w:hAnsi="仿宋" w:eastAsia="仿宋"/>
                <w:bCs/>
                <w:szCs w:val="21"/>
              </w:rPr>
            </w:pPr>
          </w:p>
        </w:tc>
      </w:tr>
    </w:tbl>
    <w:p>
      <w:pPr>
        <w:spacing w:line="280" w:lineRule="exact"/>
        <w:ind w:firstLine="420" w:firstLineChars="200"/>
        <w:rPr>
          <w:rFonts w:ascii="仿宋" w:hAnsi="仿宋" w:eastAsia="仿宋"/>
          <w:szCs w:val="21"/>
        </w:rPr>
      </w:pPr>
    </w:p>
    <w:p>
      <w:pPr>
        <w:spacing w:line="320" w:lineRule="exact"/>
        <w:rPr>
          <w:rFonts w:ascii="仿宋" w:hAnsi="仿宋" w:eastAsia="仿宋"/>
          <w:b/>
          <w:szCs w:val="21"/>
        </w:rPr>
      </w:pPr>
      <w:r>
        <w:rPr>
          <w:rFonts w:hint="eastAsia" w:ascii="仿宋" w:hAnsi="仿宋" w:eastAsia="仿宋"/>
          <w:b/>
          <w:szCs w:val="21"/>
        </w:rPr>
        <w:t>第二部分：拟购项目配置清单</w:t>
      </w:r>
    </w:p>
    <w:tbl>
      <w:tblPr>
        <w:tblStyle w:val="7"/>
        <w:tblW w:w="9615"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75"/>
        <w:gridCol w:w="3060"/>
        <w:gridCol w:w="1110"/>
        <w:gridCol w:w="780"/>
        <w:gridCol w:w="2055"/>
        <w:gridCol w:w="1935"/>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4845" w:type="dxa"/>
            <w:gridSpan w:val="3"/>
          </w:tcPr>
          <w:p>
            <w:pPr>
              <w:spacing w:line="320" w:lineRule="exact"/>
              <w:jc w:val="center"/>
              <w:rPr>
                <w:rFonts w:ascii="仿宋" w:hAnsi="仿宋" w:eastAsia="仿宋"/>
                <w:bCs/>
                <w:szCs w:val="21"/>
              </w:rPr>
            </w:pPr>
            <w:r>
              <w:rPr>
                <w:rFonts w:hint="eastAsia" w:ascii="仿宋" w:hAnsi="仿宋" w:eastAsia="仿宋"/>
                <w:bCs/>
                <w:szCs w:val="21"/>
              </w:rPr>
              <w:t>本项目拟配置清单</w:t>
            </w:r>
          </w:p>
        </w:tc>
        <w:tc>
          <w:tcPr>
            <w:tcW w:w="780" w:type="dxa"/>
            <w:vMerge w:val="restart"/>
          </w:tcPr>
          <w:p>
            <w:pPr>
              <w:spacing w:line="320" w:lineRule="exact"/>
              <w:jc w:val="center"/>
              <w:rPr>
                <w:rFonts w:ascii="仿宋" w:hAnsi="仿宋"/>
                <w:bCs/>
                <w:szCs w:val="21"/>
              </w:rPr>
            </w:pPr>
            <w:r>
              <w:rPr>
                <w:rFonts w:hint="eastAsia" w:ascii="仿宋" w:hAnsi="仿宋" w:eastAsia="仿宋"/>
                <w:bCs/>
                <w:szCs w:val="21"/>
              </w:rPr>
              <w:t>响应情况</w:t>
            </w:r>
          </w:p>
        </w:tc>
        <w:tc>
          <w:tcPr>
            <w:tcW w:w="2055" w:type="dxa"/>
            <w:vMerge w:val="restart"/>
          </w:tcPr>
          <w:p>
            <w:pPr>
              <w:spacing w:line="320" w:lineRule="exact"/>
              <w:jc w:val="center"/>
              <w:rPr>
                <w:rFonts w:ascii="仿宋" w:hAnsi="仿宋" w:eastAsia="仿宋"/>
                <w:bCs/>
                <w:szCs w:val="21"/>
              </w:rPr>
            </w:pPr>
            <w:r>
              <w:rPr>
                <w:rFonts w:hint="eastAsia" w:ascii="仿宋" w:hAnsi="仿宋" w:eastAsia="仿宋"/>
                <w:bCs/>
                <w:szCs w:val="21"/>
              </w:rPr>
              <w:t>建议修改指标</w:t>
            </w:r>
          </w:p>
        </w:tc>
        <w:tc>
          <w:tcPr>
            <w:tcW w:w="1935" w:type="dxa"/>
            <w:vMerge w:val="restart"/>
          </w:tcPr>
          <w:p>
            <w:pPr>
              <w:spacing w:line="320" w:lineRule="exact"/>
              <w:jc w:val="center"/>
              <w:rPr>
                <w:rFonts w:ascii="仿宋" w:hAnsi="仿宋" w:eastAsia="仿宋"/>
                <w:bCs/>
                <w:szCs w:val="21"/>
              </w:rPr>
            </w:pPr>
            <w:r>
              <w:rPr>
                <w:rFonts w:hint="eastAsia" w:ascii="仿宋" w:hAnsi="仿宋" w:eastAsia="仿宋"/>
                <w:bCs/>
                <w:szCs w:val="21"/>
              </w:rPr>
              <w:t>备注</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spacing w:line="320" w:lineRule="exact"/>
              <w:jc w:val="center"/>
              <w:rPr>
                <w:rFonts w:ascii="仿宋" w:hAnsi="仿宋" w:eastAsia="仿宋"/>
                <w:bCs/>
                <w:szCs w:val="21"/>
              </w:rPr>
            </w:pPr>
            <w:r>
              <w:rPr>
                <w:rFonts w:hint="eastAsia" w:ascii="仿宋" w:hAnsi="仿宋" w:eastAsia="仿宋"/>
                <w:bCs/>
                <w:szCs w:val="21"/>
              </w:rPr>
              <w:t>序号</w:t>
            </w:r>
          </w:p>
        </w:tc>
        <w:tc>
          <w:tcPr>
            <w:tcW w:w="3060" w:type="dxa"/>
          </w:tcPr>
          <w:p>
            <w:pPr>
              <w:spacing w:line="320" w:lineRule="exact"/>
              <w:jc w:val="center"/>
              <w:rPr>
                <w:rFonts w:ascii="仿宋" w:hAnsi="仿宋" w:eastAsia="仿宋"/>
                <w:bCs/>
                <w:szCs w:val="21"/>
              </w:rPr>
            </w:pPr>
            <w:r>
              <w:rPr>
                <w:rFonts w:hint="eastAsia" w:ascii="仿宋" w:hAnsi="仿宋" w:eastAsia="仿宋"/>
                <w:bCs/>
                <w:szCs w:val="21"/>
              </w:rPr>
              <w:t>配置清单名称</w:t>
            </w:r>
          </w:p>
        </w:tc>
        <w:tc>
          <w:tcPr>
            <w:tcW w:w="1110" w:type="dxa"/>
          </w:tcPr>
          <w:p>
            <w:pPr>
              <w:spacing w:line="320" w:lineRule="exact"/>
              <w:jc w:val="center"/>
              <w:rPr>
                <w:rFonts w:ascii="仿宋" w:hAnsi="仿宋" w:eastAsia="仿宋"/>
                <w:bCs/>
                <w:szCs w:val="21"/>
              </w:rPr>
            </w:pPr>
            <w:r>
              <w:rPr>
                <w:rFonts w:hint="eastAsia" w:ascii="仿宋" w:hAnsi="仿宋" w:eastAsia="仿宋"/>
                <w:bCs/>
                <w:szCs w:val="21"/>
              </w:rPr>
              <w:t>数量</w:t>
            </w:r>
          </w:p>
        </w:tc>
        <w:tc>
          <w:tcPr>
            <w:tcW w:w="780" w:type="dxa"/>
            <w:vMerge w:val="continue"/>
          </w:tcPr>
          <w:p>
            <w:pPr>
              <w:spacing w:line="320" w:lineRule="exact"/>
              <w:rPr>
                <w:rFonts w:ascii="仿宋" w:hAnsi="仿宋" w:eastAsia="仿宋"/>
                <w:bCs/>
                <w:szCs w:val="21"/>
              </w:rPr>
            </w:pPr>
          </w:p>
        </w:tc>
        <w:tc>
          <w:tcPr>
            <w:tcW w:w="2055" w:type="dxa"/>
            <w:vMerge w:val="continue"/>
          </w:tcPr>
          <w:p>
            <w:pPr>
              <w:spacing w:line="320" w:lineRule="exact"/>
              <w:rPr>
                <w:rFonts w:ascii="仿宋" w:hAnsi="仿宋" w:eastAsia="仿宋"/>
                <w:bCs/>
                <w:szCs w:val="21"/>
              </w:rPr>
            </w:pPr>
          </w:p>
        </w:tc>
        <w:tc>
          <w:tcPr>
            <w:tcW w:w="1935" w:type="dxa"/>
            <w:vMerge w:val="continue"/>
          </w:tcPr>
          <w:p>
            <w:pPr>
              <w:spacing w:line="320" w:lineRule="exact"/>
              <w:rPr>
                <w:rFonts w:ascii="仿宋" w:hAnsi="仿宋" w:eastAsia="仿宋"/>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spacing w:line="320" w:lineRule="exact"/>
              <w:rPr>
                <w:rFonts w:ascii="仿宋" w:hAnsi="仿宋" w:eastAsia="仿宋"/>
                <w:bCs/>
                <w:szCs w:val="21"/>
              </w:rPr>
            </w:pPr>
          </w:p>
        </w:tc>
        <w:tc>
          <w:tcPr>
            <w:tcW w:w="3060" w:type="dxa"/>
          </w:tcPr>
          <w:p>
            <w:pPr>
              <w:spacing w:line="320" w:lineRule="exact"/>
              <w:rPr>
                <w:rFonts w:ascii="仿宋" w:hAnsi="仿宋" w:eastAsia="仿宋"/>
                <w:bCs/>
                <w:szCs w:val="21"/>
              </w:rPr>
            </w:pPr>
          </w:p>
        </w:tc>
        <w:tc>
          <w:tcPr>
            <w:tcW w:w="1110" w:type="dxa"/>
          </w:tcPr>
          <w:p>
            <w:pPr>
              <w:spacing w:line="320" w:lineRule="exact"/>
              <w:rPr>
                <w:rFonts w:ascii="仿宋" w:hAnsi="仿宋" w:eastAsia="仿宋"/>
                <w:bCs/>
                <w:szCs w:val="21"/>
              </w:rPr>
            </w:pPr>
          </w:p>
        </w:tc>
        <w:tc>
          <w:tcPr>
            <w:tcW w:w="780" w:type="dxa"/>
          </w:tcPr>
          <w:p>
            <w:pPr>
              <w:spacing w:line="320" w:lineRule="exact"/>
              <w:rPr>
                <w:rFonts w:ascii="仿宋" w:hAnsi="仿宋" w:eastAsia="仿宋"/>
                <w:bCs/>
                <w:szCs w:val="21"/>
              </w:rPr>
            </w:pPr>
          </w:p>
        </w:tc>
        <w:tc>
          <w:tcPr>
            <w:tcW w:w="2055" w:type="dxa"/>
          </w:tcPr>
          <w:p>
            <w:pPr>
              <w:spacing w:line="320" w:lineRule="exact"/>
              <w:rPr>
                <w:rFonts w:ascii="仿宋" w:hAnsi="仿宋" w:eastAsia="仿宋"/>
                <w:bCs/>
                <w:szCs w:val="21"/>
              </w:rPr>
            </w:pPr>
          </w:p>
        </w:tc>
        <w:tc>
          <w:tcPr>
            <w:tcW w:w="1935" w:type="dxa"/>
          </w:tcPr>
          <w:p>
            <w:pPr>
              <w:spacing w:line="320" w:lineRule="exact"/>
              <w:rPr>
                <w:rFonts w:ascii="仿宋" w:hAnsi="仿宋" w:eastAsia="仿宋"/>
                <w:bCs/>
                <w:szCs w:val="21"/>
              </w:rPr>
            </w:pPr>
          </w:p>
        </w:tc>
      </w:tr>
    </w:tbl>
    <w:p>
      <w:pPr>
        <w:spacing w:line="280" w:lineRule="exact"/>
        <w:rPr>
          <w:rFonts w:ascii="仿宋" w:hAnsi="仿宋" w:eastAsia="仿宋"/>
          <w:szCs w:val="21"/>
        </w:rPr>
      </w:pPr>
    </w:p>
    <w:p>
      <w:pPr>
        <w:pStyle w:val="5"/>
        <w:ind w:firstLine="20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3MzIyYmQ2MDMwZTEzNzM4NGRlYjA3YjFhZjMyNzAifQ=="/>
  </w:docVars>
  <w:rsids>
    <w:rsidRoot w:val="7C8A08BF"/>
    <w:rsid w:val="737B5A96"/>
    <w:rsid w:val="7C8A08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customStyle="1" w:styleId="3">
    <w:name w:val="style4"/>
    <w:basedOn w:val="1"/>
    <w:next w:val="4"/>
    <w:qFormat/>
    <w:uiPriority w:val="0"/>
    <w:pPr>
      <w:widowControl/>
      <w:spacing w:before="280" w:after="280"/>
    </w:pPr>
    <w:rPr>
      <w:rFonts w:ascii="宋体" w:hAnsi="Times New Roman" w:eastAsia="宋体" w:cs="Times New Roman"/>
      <w:sz w:val="18"/>
    </w:rPr>
  </w:style>
  <w:style w:type="paragraph" w:customStyle="1" w:styleId="4">
    <w:name w:val="2"/>
    <w:next w:val="1"/>
    <w:qFormat/>
    <w:uiPriority w:val="0"/>
    <w:pPr>
      <w:widowControl w:val="0"/>
      <w:jc w:val="both"/>
    </w:pPr>
    <w:rPr>
      <w:rFonts w:ascii="Calibri" w:hAnsi="Calibri" w:eastAsia="宋体" w:cs="Times New Roman"/>
      <w:sz w:val="21"/>
      <w:szCs w:val="22"/>
      <w:lang w:val="en-US" w:eastAsia="zh-CN" w:bidi="ar-SA"/>
    </w:rPr>
  </w:style>
  <w:style w:type="paragraph" w:styleId="5">
    <w:name w:val="Body Text First Indent"/>
    <w:basedOn w:val="2"/>
    <w:unhideWhenUsed/>
    <w:qFormat/>
    <w:uiPriority w:val="99"/>
    <w:pPr>
      <w:ind w:firstLine="420" w:firstLineChars="100"/>
    </w:pPr>
    <w:rPr>
      <w:rFonts w:ascii="Times New Roman" w:hAnsi="Times New Roman"/>
      <w:kern w:val="0"/>
      <w:sz w:val="20"/>
      <w:szCs w:val="20"/>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9">
    <w:name w:val="NormalCharacter"/>
    <w:qFormat/>
    <w:uiPriority w:val="0"/>
  </w:style>
  <w:style w:type="paragraph" w:customStyle="1" w:styleId="10">
    <w:name w:val="_Style 1"/>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2023-12-08T02:51:00Z</dcterms:created>
  <dc:creator>光阳</dc:creator>
  <cp:lastModifiedBy>光阳</cp:lastModifiedBy>
  <dcterms:modified xsi:type="dcterms:W3CDTF">2023-12-25T01:46:10Z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59207AE1466A4C838026AAAB4A75576A_11</vt:lpwstr>
  </property>
</Properties>
</file>