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碳13呼气检测仪</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第二次</w:t>
      </w:r>
      <w:r>
        <w:rPr>
          <w:rFonts w:hint="eastAsia" w:ascii="等线 Light" w:hAnsi="等线 Light" w:eastAsia="等线 Light" w:cs="等线 Light"/>
          <w:b/>
          <w:bCs/>
          <w:color w:val="000000"/>
          <w:sz w:val="32"/>
          <w:szCs w:val="32"/>
        </w:rPr>
        <w:t>参数论证征集意见表</w:t>
      </w:r>
    </w:p>
    <w:bookmarkEnd w:id="0"/>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58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宋体" w:hAnsi="宋体" w:eastAsia="宋体" w:cs="宋体"/>
                <w:spacing w:val="5"/>
                <w:sz w:val="20"/>
                <w:szCs w:val="20"/>
              </w:rPr>
              <w:t>样本采集器通道数量：十通道，能够一次连接并连续检测 10 个气袋样本</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9"/>
                <w:sz w:val="20"/>
                <w:szCs w:val="20"/>
              </w:rPr>
              <w:t>能</w:t>
            </w:r>
            <w:r>
              <w:rPr>
                <w:rFonts w:ascii="宋体" w:hAnsi="宋体" w:eastAsia="宋体" w:cs="宋体"/>
                <w:spacing w:val="8"/>
                <w:sz w:val="20"/>
                <w:szCs w:val="20"/>
              </w:rPr>
              <w:t>统一或分别打印中文检测报告</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81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测量范围：测量样品的浓度范围为：1%~10%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80E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测量精度：精密度：标准偏差 δsd 不超过 0.25‰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44D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稳定性：在 5 小时内，C.V.的绝对值不大于 3%；</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8A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检测灵敏度：CO2 最小检测浓度：0.5%，误差应不超过±0.1%；</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65B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样品体积：样品必须满足不少于 120ml/袋；</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7</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3C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预热时间 ：不超过 45min；</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8</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303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分析速度 ：每个样品分析时间＜100s；</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AA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正常工作条件</w:t>
            </w:r>
          </w:p>
          <w:p w14:paraId="37B6FB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供电电源：a.c.220V±22V，50Hz±1 Hz；</w:t>
            </w:r>
          </w:p>
          <w:p w14:paraId="1A7DED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输入功率： ≤180VA；</w:t>
            </w:r>
          </w:p>
          <w:p w14:paraId="713407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海拔高度：2000m 以下；</w:t>
            </w:r>
          </w:p>
          <w:p w14:paraId="30FE5C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环境温度：10℃~30℃；</w:t>
            </w:r>
          </w:p>
          <w:p w14:paraId="542931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相对湿度：不超过 70%；</w:t>
            </w:r>
          </w:p>
          <w:p w14:paraId="23CB1A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大气压力：86kPa~106kPa；</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BB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提供与该设备配套使用的颗粒剂型的试剂的有效注册证等并提供证书复印件；</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598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设备可进行周校正、月质控工作， 自动生成质控报告，并提供第三方认证的 标准质控品；</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E2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数据处理工作站配置要求：智能高清显示器，微型计算机，内置打印机，另 配备激光打印机；全中文数据管理软件：可为用户提供各种增值服务，包含软件 系统的可扩展性，与不同厂商开发的 LIS (Laboratory Information System)系 统或 HIS(Hospital Information System)系统相兼容，确保信息传递迅捷和信 息安全。也可根据需求设计报告模板。</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5"/>
        <w:gridCol w:w="1366"/>
        <w:gridCol w:w="897"/>
        <w:gridCol w:w="1365"/>
        <w:gridCol w:w="1285"/>
        <w:gridCol w:w="1014"/>
        <w:gridCol w:w="1970"/>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011C9E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D60C0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D282D"/>
    <w:rsid w:val="73A328F7"/>
    <w:rsid w:val="7D5D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1284</Words>
  <Characters>1448</Characters>
  <Lines>0</Lines>
  <Paragraphs>0</Paragraphs>
  <TotalTime>1</TotalTime>
  <ScaleCrop>false</ScaleCrop>
  <LinksUpToDate>false</LinksUpToDate>
  <CharactersWithSpaces>1629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2025-12-17T02:03:00Z</dcterms:created>
  <dc:creator>光阳</dc:creator>
  <cp:lastModifiedBy>光阳</cp:lastModifiedBy>
  <dcterms:modified xsi:type="dcterms:W3CDTF">2025-12-26T09:17:44Z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A15F0AF0C01743BDB3844E2278EA4F5F_11</vt:lpwstr>
  </property>
  <property fmtid="{D5CDD505-2E9C-101B-9397-08002B2CF9AE}" pid="4" name="KSOTemplateDocerSaveRecord">
    <vt:lpwstr>eyJoZGlkIjoiODI3MzIyYmQ2MDMwZTEzNzM4NGRlYjA3YjFhZjMyNzAiLCJ1c2VySWQiOiIyODA2MzM4NTgifQ==</vt:lpwstr>
  </property>
</Properties>
</file>