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45AB">
      <w:pPr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姚李分院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eastAsia="zh-CN"/>
          <w14:textFill>
            <w14:solidFill>
              <w14:schemeClr w14:val="tx1"/>
            </w14:solidFill>
          </w14:textFill>
        </w:rPr>
        <w:t>STORZ腹腔镜冷光源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bookmarkEnd w:id="0"/>
    <w:p w14:paraId="3E7D0EB6">
      <w:pPr>
        <w:jc w:val="center"/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设备铭牌：</w:t>
      </w:r>
    </w:p>
    <w:p w14:paraId="75700EB4">
      <w:pPr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880" cy="7019925"/>
            <wp:effectExtent l="0" t="0" r="13970" b="9525"/>
            <wp:docPr id="1" name="图片 1" descr="3875066b688e670c1f0e3ada0a370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75066b688e670c1f0e3ada0a370b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17CC"/>
    <w:rsid w:val="5082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2026-02-02T08:44:00Z</dcterms:created>
  <dc:creator>光阳</dc:creator>
  <cp:lastModifiedBy>光阳</cp:lastModifiedBy>
  <dcterms:modified xsi:type="dcterms:W3CDTF">2026-02-02T08:44:43Z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3315A6A660BB4D018DF56CF76BD7622C_11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