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20BB1">
      <w:pPr>
        <w:pStyle w:val="5"/>
        <w:jc w:val="center"/>
        <w:rPr>
          <w:rFonts w:hint="eastAsia" w:ascii="宋体" w:hAnsi="宋体" w:cs="宋体"/>
          <w:b/>
          <w:bCs/>
          <w:color w:val="auto"/>
          <w:kern w:val="36"/>
          <w:sz w:val="40"/>
          <w:szCs w:val="40"/>
          <w:highlight w:val="none"/>
          <w:lang w:eastAsia="zh-CN"/>
        </w:rPr>
      </w:pPr>
    </w:p>
    <w:p w14:paraId="2E7357DA">
      <w:pPr>
        <w:jc w:val="center"/>
        <w:rPr>
          <w:color w:val="auto"/>
          <w:highlight w:val="none"/>
        </w:rPr>
      </w:pPr>
      <w:r>
        <w:rPr>
          <w:rFonts w:hint="eastAsia" w:ascii="宋体" w:hAnsi="宋体" w:cs="宋体"/>
          <w:b/>
          <w:bCs/>
          <w:color w:val="auto"/>
          <w:kern w:val="36"/>
          <w:sz w:val="40"/>
          <w:szCs w:val="40"/>
          <w:highlight w:val="none"/>
          <w:lang w:eastAsia="zh-CN"/>
        </w:rPr>
        <w:t>六安市叶集区人民医院姚李分院血液透析信息系统采购项目</w:t>
      </w:r>
    </w:p>
    <w:p w14:paraId="208143C6">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服</w:t>
      </w:r>
    </w:p>
    <w:p w14:paraId="552AC18F">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务</w:t>
      </w:r>
    </w:p>
    <w:p w14:paraId="3B722780">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类</w:t>
      </w:r>
    </w:p>
    <w:p w14:paraId="17E1DFC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单</w:t>
      </w:r>
    </w:p>
    <w:p w14:paraId="070D9C6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一</w:t>
      </w:r>
    </w:p>
    <w:p w14:paraId="62BC659D">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来</w:t>
      </w:r>
    </w:p>
    <w:p w14:paraId="6FD59740">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源</w:t>
      </w:r>
    </w:p>
    <w:p w14:paraId="2D2693C1">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采</w:t>
      </w:r>
    </w:p>
    <w:p w14:paraId="1222BE6F">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购</w:t>
      </w:r>
    </w:p>
    <w:p w14:paraId="1D375F2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文</w:t>
      </w:r>
    </w:p>
    <w:p w14:paraId="5655EC77">
      <w:pPr>
        <w:spacing w:line="760" w:lineRule="exact"/>
        <w:jc w:val="center"/>
        <w:rPr>
          <w:rFonts w:ascii="宋体" w:hAnsi="宋体"/>
          <w:b/>
          <w:color w:val="auto"/>
          <w:sz w:val="56"/>
          <w:szCs w:val="56"/>
          <w:highlight w:val="none"/>
        </w:rPr>
      </w:pPr>
      <w:r>
        <w:rPr>
          <w:rFonts w:hint="eastAsia" w:ascii="宋体" w:hAnsi="宋体"/>
          <w:b/>
          <w:color w:val="auto"/>
          <w:sz w:val="44"/>
          <w:szCs w:val="44"/>
          <w:highlight w:val="none"/>
        </w:rPr>
        <w:t>件</w:t>
      </w:r>
    </w:p>
    <w:p w14:paraId="1642ACF9">
      <w:pPr>
        <w:rPr>
          <w:rFonts w:ascii="宋体" w:hAnsi="宋体"/>
          <w:b/>
          <w:color w:val="auto"/>
          <w:sz w:val="32"/>
          <w:szCs w:val="32"/>
          <w:highlight w:val="none"/>
        </w:rPr>
      </w:pPr>
    </w:p>
    <w:p w14:paraId="43B92644">
      <w:pPr>
        <w:ind w:firstLine="1680" w:firstLineChars="600"/>
        <w:jc w:val="center"/>
        <w:rPr>
          <w:rFonts w:ascii="黑体" w:hAnsi="宋体" w:eastAsia="黑体"/>
          <w:color w:val="auto"/>
          <w:sz w:val="28"/>
          <w:szCs w:val="28"/>
          <w:highlight w:val="none"/>
        </w:rPr>
      </w:pPr>
    </w:p>
    <w:p w14:paraId="0834B874">
      <w:pPr>
        <w:spacing w:line="360" w:lineRule="auto"/>
        <w:ind w:firstLine="840" w:firstLineChars="300"/>
        <w:rPr>
          <w:rFonts w:hint="eastAsia" w:ascii="黑体" w:hAnsi="宋体" w:eastAsia="黑体"/>
          <w:color w:val="auto"/>
          <w:sz w:val="28"/>
          <w:szCs w:val="28"/>
          <w:highlight w:val="none"/>
        </w:rPr>
      </w:pPr>
    </w:p>
    <w:p w14:paraId="54F2087D">
      <w:pPr>
        <w:spacing w:line="360" w:lineRule="auto"/>
        <w:ind w:firstLine="840" w:firstLineChars="300"/>
        <w:rPr>
          <w:rFonts w:ascii="黑体" w:hAnsi="宋体" w:eastAsia="黑体"/>
          <w:color w:val="auto"/>
          <w:sz w:val="28"/>
          <w:szCs w:val="28"/>
          <w:highlight w:val="none"/>
        </w:rPr>
      </w:pPr>
      <w:r>
        <w:rPr>
          <w:rFonts w:hint="eastAsia" w:ascii="黑体" w:hAnsi="宋体" w:eastAsia="黑体"/>
          <w:color w:val="auto"/>
          <w:sz w:val="28"/>
          <w:szCs w:val="28"/>
          <w:highlight w:val="none"/>
        </w:rPr>
        <w:t>项目单位：</w:t>
      </w:r>
      <w:r>
        <w:rPr>
          <w:rFonts w:hint="eastAsia" w:ascii="黑体" w:hAnsi="宋体" w:eastAsia="黑体"/>
          <w:color w:val="auto"/>
          <w:sz w:val="28"/>
          <w:szCs w:val="28"/>
          <w:highlight w:val="none"/>
          <w:lang w:val="en-US" w:eastAsia="zh-CN"/>
        </w:rPr>
        <w:t>六安市叶集区人民医院（六安市第六人民医院）</w:t>
      </w:r>
      <w:r>
        <w:rPr>
          <w:rFonts w:hint="eastAsia" w:ascii="黑体" w:hAnsi="宋体" w:eastAsia="黑体"/>
          <w:color w:val="auto"/>
          <w:sz w:val="28"/>
          <w:szCs w:val="28"/>
          <w:highlight w:val="none"/>
        </w:rPr>
        <w:t xml:space="preserve">                 </w:t>
      </w:r>
    </w:p>
    <w:p w14:paraId="5BFC4A8C">
      <w:pPr>
        <w:spacing w:line="360" w:lineRule="auto"/>
        <w:ind w:firstLine="2240" w:firstLineChars="800"/>
        <w:rPr>
          <w:rFonts w:ascii="黑体" w:hAnsi="宋体" w:eastAsia="黑体"/>
          <w:color w:val="auto"/>
          <w:sz w:val="28"/>
          <w:szCs w:val="28"/>
          <w:highlight w:val="none"/>
        </w:rPr>
      </w:pPr>
      <w:r>
        <w:rPr>
          <w:rFonts w:hint="eastAsia" w:ascii="黑体" w:hAnsi="宋体" w:eastAsia="黑体"/>
          <w:color w:val="auto"/>
          <w:sz w:val="28"/>
          <w:szCs w:val="28"/>
          <w:highlight w:val="none"/>
        </w:rPr>
        <w:t>代理机构：安徽同方工程咨询有限公司</w:t>
      </w:r>
      <w:r>
        <w:rPr>
          <w:rFonts w:ascii="黑体" w:hAnsi="宋体" w:eastAsia="黑体"/>
          <w:color w:val="auto"/>
          <w:sz w:val="28"/>
          <w:szCs w:val="28"/>
          <w:highlight w:val="none"/>
        </w:rPr>
        <w:t xml:space="preserve"> </w:t>
      </w:r>
    </w:p>
    <w:p w14:paraId="68B8CC22">
      <w:pPr>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2026</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lang w:val="en-US" w:eastAsia="zh-CN"/>
        </w:rPr>
        <w:t>4</w:t>
      </w:r>
      <w:r>
        <w:rPr>
          <w:rFonts w:hint="eastAsia" w:ascii="黑体" w:hAnsi="宋体" w:eastAsia="黑体"/>
          <w:color w:val="auto"/>
          <w:sz w:val="28"/>
          <w:szCs w:val="28"/>
          <w:highlight w:val="none"/>
        </w:rPr>
        <w:t>月</w:t>
      </w:r>
      <w:bookmarkStart w:id="0" w:name="_Toc18671549"/>
    </w:p>
    <w:p w14:paraId="5DBE1E06">
      <w:pPr>
        <w:jc w:val="center"/>
        <w:rPr>
          <w:rFonts w:hint="eastAsia" w:ascii="黑体" w:hAnsi="黑体" w:eastAsia="黑体" w:cs="黑体"/>
          <w:b/>
          <w:bCs/>
          <w:color w:val="auto"/>
          <w:sz w:val="40"/>
          <w:szCs w:val="48"/>
          <w:highlight w:val="none"/>
        </w:rPr>
        <w:sectPr>
          <w:footerReference r:id="rId3" w:type="default"/>
          <w:pgSz w:w="11907" w:h="16839"/>
          <w:pgMar w:top="1118" w:right="1769" w:bottom="1233" w:left="1771" w:header="877" w:footer="982" w:gutter="0"/>
          <w:pgNumType w:fmt="decimal" w:start="1"/>
          <w:cols w:space="720" w:num="1"/>
        </w:sectPr>
      </w:pPr>
    </w:p>
    <w:sdt>
      <w:sdtPr>
        <w:rPr>
          <w:rFonts w:hint="eastAsia" w:ascii="黑体" w:hAnsi="黑体" w:eastAsia="黑体" w:cs="黑体"/>
          <w:b/>
          <w:bCs/>
          <w:color w:val="auto"/>
          <w:sz w:val="40"/>
          <w:szCs w:val="48"/>
          <w:highlight w:val="none"/>
        </w:rPr>
        <w:id w:val="147458712"/>
      </w:sdtPr>
      <w:sdtEndPr>
        <w:rPr>
          <w:rFonts w:hint="eastAsia" w:ascii="宋体" w:hAnsi="宋体" w:eastAsia="宋体" w:cs="宋体"/>
          <w:b/>
          <w:bCs/>
          <w:color w:val="auto"/>
          <w:sz w:val="21"/>
          <w:szCs w:val="32"/>
          <w:highlight w:val="none"/>
        </w:rPr>
      </w:sdtEndPr>
      <w:sdtContent>
        <w:p w14:paraId="3D821A79">
          <w:pPr>
            <w:jc w:val="center"/>
            <w:rPr>
              <w:rFonts w:ascii="黑体" w:hAnsi="黑体" w:eastAsia="黑体" w:cs="黑体"/>
              <w:b/>
              <w:bCs/>
              <w:color w:val="auto"/>
              <w:sz w:val="40"/>
              <w:szCs w:val="48"/>
              <w:highlight w:val="none"/>
            </w:rPr>
          </w:pPr>
        </w:p>
        <w:p w14:paraId="4200B2CB">
          <w:pPr>
            <w:jc w:val="center"/>
            <w:rPr>
              <w:rFonts w:ascii="黑体" w:hAnsi="黑体" w:eastAsia="黑体" w:cs="黑体"/>
              <w:b/>
              <w:bCs/>
              <w:color w:val="auto"/>
              <w:sz w:val="40"/>
              <w:szCs w:val="48"/>
              <w:highlight w:val="none"/>
            </w:rPr>
          </w:pPr>
          <w:r>
            <w:rPr>
              <w:rFonts w:hint="eastAsia" w:ascii="黑体" w:hAnsi="黑体" w:eastAsia="黑体" w:cs="黑体"/>
              <w:b/>
              <w:bCs/>
              <w:color w:val="auto"/>
              <w:sz w:val="40"/>
              <w:szCs w:val="48"/>
              <w:highlight w:val="none"/>
            </w:rPr>
            <w:t>目   录</w:t>
          </w:r>
        </w:p>
        <w:p w14:paraId="26F6F34F">
          <w:pPr>
            <w:jc w:val="center"/>
            <w:rPr>
              <w:rFonts w:ascii="黑体" w:hAnsi="黑体" w:eastAsia="黑体" w:cs="黑体"/>
              <w:b/>
              <w:bCs/>
              <w:color w:val="auto"/>
              <w:sz w:val="36"/>
              <w:szCs w:val="44"/>
              <w:highlight w:val="none"/>
            </w:rPr>
          </w:pPr>
        </w:p>
        <w:p w14:paraId="21FFB5D1">
          <w:pPr>
            <w:pStyle w:val="10"/>
            <w:tabs>
              <w:tab w:val="right" w:leader="dot" w:pos="8367"/>
            </w:tabs>
            <w:spacing w:line="360" w:lineRule="auto"/>
            <w:rPr>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"1-3"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_Toc11881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单一来源方式采购的公示</w:t>
          </w:r>
          <w:r>
            <w:rPr>
              <w:b w:val="0"/>
              <w:bCs w:val="0"/>
              <w:sz w:val="28"/>
              <w:szCs w:val="28"/>
            </w:rPr>
            <w:tab/>
          </w:r>
          <w:r>
            <w:rPr>
              <w:b w:val="0"/>
              <w:bCs w:val="0"/>
              <w:sz w:val="28"/>
              <w:szCs w:val="28"/>
            </w:rPr>
            <w:fldChar w:fldCharType="begin"/>
          </w:r>
          <w:r>
            <w:rPr>
              <w:b w:val="0"/>
              <w:bCs w:val="0"/>
              <w:sz w:val="28"/>
              <w:szCs w:val="28"/>
            </w:rPr>
            <w:instrText xml:space="preserve"> PAGEREF _Toc11881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DA3DA19">
          <w:pPr>
            <w:pStyle w:val="12"/>
            <w:tabs>
              <w:tab w:val="right" w:leader="dot" w:pos="8367"/>
            </w:tabs>
            <w:spacing w:line="360" w:lineRule="auto"/>
            <w:ind w:left="0" w:leftChars="0" w:firstLine="0" w:firstLineChars="0"/>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_Toc12881 </w:instrText>
          </w:r>
          <w:r>
            <w:rPr>
              <w:rFonts w:hint="eastAsia" w:ascii="宋体" w:hAnsi="宋体" w:cs="宋体"/>
              <w:b w:val="0"/>
              <w:bCs w:val="0"/>
              <w:sz w:val="28"/>
              <w:szCs w:val="28"/>
              <w:highlight w:val="none"/>
            </w:rPr>
            <w:fldChar w:fldCharType="separate"/>
          </w:r>
          <w:r>
            <w:rPr>
              <w:rFonts w:hint="eastAsia" w:ascii="宋体" w:hAnsi="宋体" w:eastAsia="宋体" w:cs="宋体"/>
              <w:b w:val="0"/>
              <w:bCs w:val="0"/>
              <w:sz w:val="28"/>
              <w:szCs w:val="28"/>
              <w:highlight w:val="none"/>
            </w:rPr>
            <w:t>第一章 单一来源采购邀请书</w:t>
          </w:r>
          <w:r>
            <w:rPr>
              <w:b w:val="0"/>
              <w:bCs w:val="0"/>
              <w:sz w:val="28"/>
              <w:szCs w:val="28"/>
            </w:rPr>
            <w:tab/>
          </w:r>
          <w:r>
            <w:rPr>
              <w:b w:val="0"/>
              <w:bCs w:val="0"/>
              <w:sz w:val="28"/>
              <w:szCs w:val="28"/>
            </w:rPr>
            <w:fldChar w:fldCharType="begin"/>
          </w:r>
          <w:r>
            <w:rPr>
              <w:b w:val="0"/>
              <w:bCs w:val="0"/>
              <w:sz w:val="28"/>
              <w:szCs w:val="28"/>
            </w:rPr>
            <w:instrText xml:space="preserve"> PAGEREF _Toc12881 \h </w:instrText>
          </w:r>
          <w:r>
            <w:rPr>
              <w:b w:val="0"/>
              <w:bCs w:val="0"/>
              <w:sz w:val="28"/>
              <w:szCs w:val="28"/>
            </w:rPr>
            <w:fldChar w:fldCharType="separate"/>
          </w:r>
          <w:r>
            <w:rPr>
              <w:b w:val="0"/>
              <w:bCs w:val="0"/>
              <w:sz w:val="28"/>
              <w:szCs w:val="28"/>
            </w:rPr>
            <w:t>4</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306BBB59">
          <w:pPr>
            <w:pStyle w:val="12"/>
            <w:tabs>
              <w:tab w:val="right" w:leader="dot" w:pos="8367"/>
            </w:tabs>
            <w:spacing w:line="360" w:lineRule="auto"/>
            <w:ind w:left="0" w:leftChars="0" w:firstLine="0" w:firstLineChars="0"/>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_Toc23853 </w:instrText>
          </w:r>
          <w:r>
            <w:rPr>
              <w:rFonts w:hint="eastAsia" w:ascii="宋体" w:hAnsi="宋体" w:cs="宋体"/>
              <w:b w:val="0"/>
              <w:bCs w:val="0"/>
              <w:sz w:val="28"/>
              <w:szCs w:val="28"/>
              <w:highlight w:val="none"/>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二</w:t>
          </w:r>
          <w:r>
            <w:rPr>
              <w:rFonts w:hint="eastAsia" w:ascii="宋体" w:hAnsi="宋体" w:eastAsia="宋体" w:cs="宋体"/>
              <w:b w:val="0"/>
              <w:bCs w:val="0"/>
              <w:sz w:val="28"/>
              <w:szCs w:val="28"/>
              <w:highlight w:val="none"/>
            </w:rPr>
            <w:t>章 供应商须知前附表</w:t>
          </w:r>
          <w:r>
            <w:rPr>
              <w:b w:val="0"/>
              <w:bCs w:val="0"/>
              <w:sz w:val="28"/>
              <w:szCs w:val="28"/>
            </w:rPr>
            <w:tab/>
          </w:r>
          <w:r>
            <w:rPr>
              <w:b w:val="0"/>
              <w:bCs w:val="0"/>
              <w:sz w:val="28"/>
              <w:szCs w:val="28"/>
            </w:rPr>
            <w:fldChar w:fldCharType="begin"/>
          </w:r>
          <w:r>
            <w:rPr>
              <w:b w:val="0"/>
              <w:bCs w:val="0"/>
              <w:sz w:val="28"/>
              <w:szCs w:val="28"/>
            </w:rPr>
            <w:instrText xml:space="preserve"> PAGEREF _Toc23853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3E76ADAB">
          <w:pPr>
            <w:pStyle w:val="12"/>
            <w:tabs>
              <w:tab w:val="right" w:leader="dot" w:pos="8367"/>
            </w:tabs>
            <w:spacing w:line="360" w:lineRule="auto"/>
            <w:ind w:left="0" w:leftChars="0" w:firstLine="0" w:firstLineChars="0"/>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_Toc27663 </w:instrText>
          </w:r>
          <w:r>
            <w:rPr>
              <w:rFonts w:hint="eastAsia" w:ascii="宋体" w:hAnsi="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供应商须知</w:t>
          </w:r>
          <w:r>
            <w:rPr>
              <w:b w:val="0"/>
              <w:bCs w:val="0"/>
              <w:sz w:val="28"/>
              <w:szCs w:val="28"/>
            </w:rPr>
            <w:tab/>
          </w:r>
          <w:r>
            <w:rPr>
              <w:b w:val="0"/>
              <w:bCs w:val="0"/>
              <w:sz w:val="28"/>
              <w:szCs w:val="28"/>
            </w:rPr>
            <w:fldChar w:fldCharType="begin"/>
          </w:r>
          <w:r>
            <w:rPr>
              <w:b w:val="0"/>
              <w:bCs w:val="0"/>
              <w:sz w:val="28"/>
              <w:szCs w:val="28"/>
            </w:rPr>
            <w:instrText xml:space="preserve"> PAGEREF _Toc27663 \h </w:instrText>
          </w:r>
          <w:r>
            <w:rPr>
              <w:b w:val="0"/>
              <w:bCs w:val="0"/>
              <w:sz w:val="28"/>
              <w:szCs w:val="28"/>
            </w:rPr>
            <w:fldChar w:fldCharType="separate"/>
          </w:r>
          <w:r>
            <w:rPr>
              <w:b w:val="0"/>
              <w:bCs w:val="0"/>
              <w:sz w:val="28"/>
              <w:szCs w:val="28"/>
            </w:rPr>
            <w:t>8</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05936CBF">
          <w:pPr>
            <w:pStyle w:val="10"/>
            <w:tabs>
              <w:tab w:val="right" w:leader="dot" w:pos="8367"/>
            </w:tabs>
            <w:spacing w:line="360" w:lineRule="auto"/>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_Toc3156 </w:instrText>
          </w:r>
          <w:r>
            <w:rPr>
              <w:rFonts w:hint="eastAsia" w:ascii="宋体" w:hAnsi="宋体" w:cs="宋体"/>
              <w:b w:val="0"/>
              <w:bCs w:val="0"/>
              <w:sz w:val="28"/>
              <w:szCs w:val="28"/>
              <w:highlight w:val="none"/>
            </w:rPr>
            <w:fldChar w:fldCharType="separate"/>
          </w:r>
          <w:r>
            <w:rPr>
              <w:rFonts w:hint="eastAsia" w:ascii="宋体" w:hAnsi="宋体" w:eastAsia="宋体" w:cs="宋体"/>
              <w:b w:val="0"/>
              <w:bCs w:val="0"/>
              <w:sz w:val="28"/>
              <w:szCs w:val="28"/>
              <w:highlight w:val="none"/>
            </w:rPr>
            <w:t>第四章 采购合同</w:t>
          </w:r>
          <w:r>
            <w:rPr>
              <w:b w:val="0"/>
              <w:bCs w:val="0"/>
              <w:sz w:val="28"/>
              <w:szCs w:val="28"/>
            </w:rPr>
            <w:tab/>
          </w:r>
          <w:r>
            <w:rPr>
              <w:b w:val="0"/>
              <w:bCs w:val="0"/>
              <w:sz w:val="28"/>
              <w:szCs w:val="28"/>
            </w:rPr>
            <w:fldChar w:fldCharType="begin"/>
          </w:r>
          <w:r>
            <w:rPr>
              <w:b w:val="0"/>
              <w:bCs w:val="0"/>
              <w:sz w:val="28"/>
              <w:szCs w:val="28"/>
            </w:rPr>
            <w:instrText xml:space="preserve"> PAGEREF _Toc3156 \h </w:instrText>
          </w:r>
          <w:r>
            <w:rPr>
              <w:b w:val="0"/>
              <w:bCs w:val="0"/>
              <w:sz w:val="28"/>
              <w:szCs w:val="28"/>
            </w:rPr>
            <w:fldChar w:fldCharType="separate"/>
          </w:r>
          <w:r>
            <w:rPr>
              <w:b w:val="0"/>
              <w:bCs w:val="0"/>
              <w:sz w:val="28"/>
              <w:szCs w:val="28"/>
            </w:rPr>
            <w:t>14</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226316E7">
          <w:pPr>
            <w:pStyle w:val="12"/>
            <w:tabs>
              <w:tab w:val="right" w:leader="dot" w:pos="8367"/>
            </w:tabs>
            <w:spacing w:line="360" w:lineRule="auto"/>
            <w:ind w:left="0" w:leftChars="0" w:firstLine="0" w:firstLineChars="0"/>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_Toc19119 </w:instrText>
          </w:r>
          <w:r>
            <w:rPr>
              <w:rFonts w:hint="eastAsia" w:ascii="宋体" w:hAnsi="宋体" w:cs="宋体"/>
              <w:b w:val="0"/>
              <w:bCs w:val="0"/>
              <w:sz w:val="28"/>
              <w:szCs w:val="28"/>
              <w:highlight w:val="none"/>
            </w:rPr>
            <w:fldChar w:fldCharType="separate"/>
          </w:r>
          <w:r>
            <w:rPr>
              <w:rFonts w:hint="eastAsia" w:ascii="宋体" w:hAnsi="宋体" w:eastAsia="宋体" w:cs="宋体"/>
              <w:b w:val="0"/>
              <w:bCs w:val="0"/>
              <w:sz w:val="28"/>
              <w:szCs w:val="28"/>
              <w:highlight w:val="none"/>
            </w:rPr>
            <w:t>第五章</w:t>
          </w:r>
          <w:r>
            <w:rPr>
              <w:rFonts w:hint="eastAsia" w:ascii="宋体" w:hAnsi="宋体" w:cs="宋体"/>
              <w:b w:val="0"/>
              <w:bCs w:val="0"/>
              <w:sz w:val="28"/>
              <w:szCs w:val="28"/>
              <w:highlight w:val="none"/>
            </w:rPr>
            <w:t xml:space="preserve"> </w:t>
          </w:r>
          <w:r>
            <w:rPr>
              <w:rFonts w:hint="eastAsia" w:ascii="宋体" w:hAnsi="宋体" w:eastAsia="宋体" w:cs="宋体"/>
              <w:b w:val="0"/>
              <w:bCs w:val="0"/>
              <w:sz w:val="28"/>
              <w:szCs w:val="28"/>
              <w:highlight w:val="none"/>
            </w:rPr>
            <w:t>采购需求</w:t>
          </w:r>
          <w:r>
            <w:rPr>
              <w:b w:val="0"/>
              <w:bCs w:val="0"/>
              <w:sz w:val="28"/>
              <w:szCs w:val="28"/>
            </w:rPr>
            <w:tab/>
          </w:r>
          <w:r>
            <w:rPr>
              <w:b w:val="0"/>
              <w:bCs w:val="0"/>
              <w:sz w:val="28"/>
              <w:szCs w:val="28"/>
            </w:rPr>
            <w:fldChar w:fldCharType="begin"/>
          </w:r>
          <w:r>
            <w:rPr>
              <w:b w:val="0"/>
              <w:bCs w:val="0"/>
              <w:sz w:val="28"/>
              <w:szCs w:val="28"/>
            </w:rPr>
            <w:instrText xml:space="preserve"> PAGEREF _Toc19119 \h </w:instrText>
          </w:r>
          <w:r>
            <w:rPr>
              <w:b w:val="0"/>
              <w:bCs w:val="0"/>
              <w:sz w:val="28"/>
              <w:szCs w:val="28"/>
            </w:rPr>
            <w:fldChar w:fldCharType="separate"/>
          </w:r>
          <w:r>
            <w:rPr>
              <w:b w:val="0"/>
              <w:bCs w:val="0"/>
              <w:sz w:val="28"/>
              <w:szCs w:val="28"/>
            </w:rPr>
            <w:t>15</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753E9A86">
          <w:pPr>
            <w:pStyle w:val="12"/>
            <w:tabs>
              <w:tab w:val="right" w:leader="dot" w:pos="8367"/>
            </w:tabs>
            <w:spacing w:line="360" w:lineRule="auto"/>
            <w:ind w:left="0" w:leftChars="0" w:firstLine="0" w:firstLineChars="0"/>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_Toc10843 </w:instrText>
          </w:r>
          <w:r>
            <w:rPr>
              <w:rFonts w:hint="eastAsia" w:ascii="宋体" w:hAnsi="宋体" w:cs="宋体"/>
              <w:b w:val="0"/>
              <w:bCs w:val="0"/>
              <w:sz w:val="28"/>
              <w:szCs w:val="28"/>
              <w:highlight w:val="none"/>
            </w:rPr>
            <w:fldChar w:fldCharType="separate"/>
          </w:r>
          <w:r>
            <w:rPr>
              <w:rFonts w:hint="eastAsia" w:ascii="宋体" w:hAnsi="宋体" w:eastAsia="宋体" w:cs="宋体"/>
              <w:b w:val="0"/>
              <w:bCs w:val="0"/>
              <w:sz w:val="28"/>
              <w:szCs w:val="28"/>
              <w:highlight w:val="none"/>
            </w:rPr>
            <w:t>第六章 单一来源响应文件</w:t>
          </w:r>
          <w:r>
            <w:rPr>
              <w:b w:val="0"/>
              <w:bCs w:val="0"/>
              <w:sz w:val="28"/>
              <w:szCs w:val="28"/>
            </w:rPr>
            <w:tab/>
          </w:r>
          <w:r>
            <w:rPr>
              <w:b w:val="0"/>
              <w:bCs w:val="0"/>
              <w:sz w:val="28"/>
              <w:szCs w:val="28"/>
            </w:rPr>
            <w:fldChar w:fldCharType="begin"/>
          </w:r>
          <w:r>
            <w:rPr>
              <w:b w:val="0"/>
              <w:bCs w:val="0"/>
              <w:sz w:val="28"/>
              <w:szCs w:val="28"/>
            </w:rPr>
            <w:instrText xml:space="preserve"> PAGEREF _Toc10843 \h </w:instrText>
          </w:r>
          <w:r>
            <w:rPr>
              <w:b w:val="0"/>
              <w:bCs w:val="0"/>
              <w:sz w:val="28"/>
              <w:szCs w:val="28"/>
            </w:rPr>
            <w:fldChar w:fldCharType="separate"/>
          </w:r>
          <w:r>
            <w:rPr>
              <w:b w:val="0"/>
              <w:bCs w:val="0"/>
              <w:sz w:val="28"/>
              <w:szCs w:val="28"/>
            </w:rPr>
            <w:t>21</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3190BDB9">
          <w:pPr>
            <w:pStyle w:val="10"/>
            <w:tabs>
              <w:tab w:val="right" w:leader="dot" w:pos="8367"/>
            </w:tabs>
            <w:spacing w:line="360" w:lineRule="auto"/>
            <w:rPr>
              <w:b w:val="0"/>
              <w:bCs w:val="0"/>
              <w:sz w:val="28"/>
              <w:szCs w:val="28"/>
            </w:rPr>
          </w:pPr>
          <w:r>
            <w:rPr>
              <w:rFonts w:hint="eastAsia" w:ascii="宋体" w:hAnsi="宋体" w:cs="宋体"/>
              <w:b w:val="0"/>
              <w:bCs w:val="0"/>
              <w:color w:val="auto"/>
              <w:sz w:val="28"/>
              <w:szCs w:val="28"/>
              <w:highlight w:val="none"/>
            </w:rPr>
            <w:fldChar w:fldCharType="begin"/>
          </w:r>
          <w:r>
            <w:rPr>
              <w:rFonts w:hint="eastAsia" w:ascii="宋体" w:hAnsi="宋体" w:cs="宋体"/>
              <w:b w:val="0"/>
              <w:bCs w:val="0"/>
              <w:sz w:val="28"/>
              <w:szCs w:val="28"/>
              <w:highlight w:val="none"/>
            </w:rPr>
            <w:instrText xml:space="preserve"> HYPERLINK \l _Toc16262 </w:instrText>
          </w:r>
          <w:r>
            <w:rPr>
              <w:rFonts w:hint="eastAsia" w:ascii="宋体" w:hAnsi="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额外附件（无需编入响应文件）</w:t>
          </w:r>
          <w:r>
            <w:rPr>
              <w:b w:val="0"/>
              <w:bCs w:val="0"/>
              <w:sz w:val="28"/>
              <w:szCs w:val="28"/>
            </w:rPr>
            <w:tab/>
          </w:r>
          <w:r>
            <w:rPr>
              <w:b w:val="0"/>
              <w:bCs w:val="0"/>
              <w:sz w:val="28"/>
              <w:szCs w:val="28"/>
            </w:rPr>
            <w:fldChar w:fldCharType="begin"/>
          </w:r>
          <w:r>
            <w:rPr>
              <w:b w:val="0"/>
              <w:bCs w:val="0"/>
              <w:sz w:val="28"/>
              <w:szCs w:val="28"/>
            </w:rPr>
            <w:instrText xml:space="preserve"> PAGEREF _Toc16262 \h </w:instrText>
          </w:r>
          <w:r>
            <w:rPr>
              <w:b w:val="0"/>
              <w:bCs w:val="0"/>
              <w:sz w:val="28"/>
              <w:szCs w:val="28"/>
            </w:rPr>
            <w:fldChar w:fldCharType="separate"/>
          </w:r>
          <w:r>
            <w:rPr>
              <w:b w:val="0"/>
              <w:bCs w:val="0"/>
              <w:sz w:val="28"/>
              <w:szCs w:val="28"/>
            </w:rPr>
            <w:t>30</w:t>
          </w:r>
          <w:r>
            <w:rPr>
              <w:b w:val="0"/>
              <w:bCs w:val="0"/>
              <w:sz w:val="28"/>
              <w:szCs w:val="28"/>
            </w:rPr>
            <w:fldChar w:fldCharType="end"/>
          </w:r>
          <w:r>
            <w:rPr>
              <w:rFonts w:hint="eastAsia" w:ascii="宋体" w:hAnsi="宋体" w:cs="宋体"/>
              <w:b w:val="0"/>
              <w:bCs w:val="0"/>
              <w:color w:val="auto"/>
              <w:sz w:val="28"/>
              <w:szCs w:val="28"/>
              <w:highlight w:val="none"/>
            </w:rPr>
            <w:fldChar w:fldCharType="end"/>
          </w:r>
        </w:p>
        <w:p w14:paraId="473EE8B9">
          <w:pPr>
            <w:spacing w:line="360" w:lineRule="auto"/>
            <w:rPr>
              <w:color w:val="auto"/>
              <w:highlight w:val="none"/>
            </w:rPr>
          </w:pPr>
          <w:r>
            <w:rPr>
              <w:rFonts w:hint="eastAsia" w:ascii="宋体" w:hAnsi="宋体" w:cs="宋体"/>
              <w:b w:val="0"/>
              <w:bCs w:val="0"/>
              <w:color w:val="auto"/>
              <w:sz w:val="28"/>
              <w:szCs w:val="28"/>
              <w:highlight w:val="none"/>
            </w:rPr>
            <w:fldChar w:fldCharType="end"/>
          </w:r>
        </w:p>
      </w:sdtContent>
    </w:sdt>
    <w:p w14:paraId="26EAF250">
      <w:pPr>
        <w:pStyle w:val="2"/>
        <w:bidi w:val="0"/>
        <w:ind w:left="0" w:leftChars="0" w:firstLine="0" w:firstLineChars="0"/>
        <w:jc w:val="center"/>
        <w:rPr>
          <w:rFonts w:hint="eastAsia" w:ascii="宋体" w:hAnsi="宋体" w:eastAsia="宋体" w:cs="宋体"/>
          <w:b/>
          <w:bCs/>
          <w:color w:val="auto"/>
          <w:sz w:val="48"/>
          <w:szCs w:val="48"/>
          <w:highlight w:val="none"/>
        </w:rPr>
        <w:sectPr>
          <w:footerReference r:id="rId4" w:type="default"/>
          <w:pgSz w:w="11907" w:h="16839"/>
          <w:pgMar w:top="1118" w:right="1769" w:bottom="1233" w:left="1771" w:header="877" w:footer="982" w:gutter="0"/>
          <w:pgNumType w:fmt="decimal" w:start="1"/>
          <w:cols w:space="720" w:num="1"/>
        </w:sectPr>
      </w:pPr>
      <w:bookmarkStart w:id="85" w:name="_GoBack"/>
      <w:bookmarkEnd w:id="85"/>
    </w:p>
    <w:p w14:paraId="571BC8B5">
      <w:pPr>
        <w:pStyle w:val="2"/>
        <w:bidi w:val="0"/>
        <w:ind w:left="0" w:leftChars="0" w:firstLine="0" w:firstLineChars="0"/>
        <w:jc w:val="center"/>
        <w:rPr>
          <w:rFonts w:ascii="华文中宋" w:hAnsi="华文中宋" w:eastAsia="华文中宋" w:cs="华文中宋"/>
          <w:color w:val="auto"/>
          <w:kern w:val="0"/>
          <w:sz w:val="48"/>
          <w:szCs w:val="48"/>
          <w:highlight w:val="none"/>
        </w:rPr>
      </w:pPr>
      <w:bookmarkStart w:id="1" w:name="_Toc11881"/>
      <w:r>
        <w:rPr>
          <w:rFonts w:hint="eastAsia" w:ascii="宋体" w:hAnsi="宋体" w:eastAsia="宋体" w:cs="宋体"/>
          <w:b/>
          <w:bCs/>
          <w:color w:val="auto"/>
          <w:sz w:val="48"/>
          <w:szCs w:val="48"/>
          <w:highlight w:val="none"/>
          <w:lang w:eastAsia="zh-CN"/>
        </w:rPr>
        <w:t>六安市叶集区人民医院姚李分院血液透析信息系统采购项目</w:t>
      </w:r>
      <w:r>
        <w:rPr>
          <w:rFonts w:hint="eastAsia" w:ascii="宋体" w:hAnsi="宋体" w:eastAsia="宋体" w:cs="宋体"/>
          <w:b/>
          <w:bCs/>
          <w:color w:val="auto"/>
          <w:sz w:val="48"/>
          <w:szCs w:val="48"/>
          <w:highlight w:val="none"/>
        </w:rPr>
        <w:t>单一来源方式采购的公示</w:t>
      </w:r>
      <w:bookmarkEnd w:id="1"/>
    </w:p>
    <w:p w14:paraId="37780EAE">
      <w:pPr>
        <w:pStyle w:val="5"/>
        <w:spacing w:after="0" w:line="560" w:lineRule="exact"/>
        <w:ind w:firstLine="560" w:firstLineChars="200"/>
        <w:rPr>
          <w:rFonts w:hint="eastAsia" w:ascii="仿宋" w:hAnsi="仿宋" w:eastAsia="仿宋" w:cs="仿宋"/>
          <w:color w:val="auto"/>
          <w:sz w:val="28"/>
          <w:szCs w:val="28"/>
          <w:highlight w:val="none"/>
          <w:lang w:val="en-US" w:eastAsia="zh-CN"/>
        </w:rPr>
      </w:pPr>
    </w:p>
    <w:p w14:paraId="0542CAD5">
      <w:pPr>
        <w:pStyle w:val="5"/>
        <w:spacing w:after="0"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根据《中华人民共和国政府采购法》、《政府采购非招标方式管理办法》（财政部令第74号）等相关法律规定，现就本项目拟采取单一来源方式采购予以公示。</w:t>
      </w:r>
    </w:p>
    <w:p w14:paraId="40FD3CEC">
      <w:pPr>
        <w:pStyle w:val="5"/>
        <w:spacing w:after="0"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一、采购人名称：</w:t>
      </w:r>
      <w:r>
        <w:rPr>
          <w:rFonts w:hint="eastAsia" w:ascii="仿宋" w:hAnsi="仿宋" w:eastAsia="仿宋" w:cs="仿宋"/>
          <w:color w:val="auto"/>
          <w:sz w:val="28"/>
          <w:szCs w:val="28"/>
          <w:highlight w:val="none"/>
          <w:lang w:val="en-US" w:eastAsia="zh-CN"/>
        </w:rPr>
        <w:t>六安市叶集区人民医院（六安市第六人民医院）</w:t>
      </w:r>
      <w:r>
        <w:rPr>
          <w:rFonts w:hint="eastAsia" w:ascii="仿宋" w:hAnsi="仿宋" w:eastAsia="仿宋" w:cs="仿宋"/>
          <w:b/>
          <w:bCs/>
          <w:color w:val="auto"/>
          <w:sz w:val="28"/>
          <w:szCs w:val="28"/>
          <w:highlight w:val="none"/>
          <w:lang w:val="en-US" w:eastAsia="zh-CN"/>
        </w:rPr>
        <w:t>二、采购人地址：</w:t>
      </w:r>
      <w:r>
        <w:rPr>
          <w:rFonts w:hint="eastAsia" w:ascii="仿宋" w:hAnsi="仿宋" w:eastAsia="仿宋" w:cs="仿宋"/>
          <w:color w:val="auto"/>
          <w:sz w:val="28"/>
          <w:szCs w:val="28"/>
          <w:highlight w:val="none"/>
          <w:lang w:val="en-US" w:eastAsia="zh-CN"/>
        </w:rPr>
        <w:t>六安市叶集区民强北路与兴叶大道交叉口</w:t>
      </w:r>
    </w:p>
    <w:p w14:paraId="40C64827">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三、采购</w:t>
      </w:r>
      <w:r>
        <w:rPr>
          <w:rFonts w:hint="eastAsia" w:ascii="仿宋" w:hAnsi="仿宋" w:eastAsia="仿宋" w:cs="仿宋"/>
          <w:b/>
          <w:bCs/>
          <w:color w:val="auto"/>
          <w:sz w:val="28"/>
          <w:szCs w:val="28"/>
          <w:highlight w:val="none"/>
        </w:rPr>
        <w:t>项目名称：</w:t>
      </w:r>
      <w:r>
        <w:rPr>
          <w:rFonts w:hint="eastAsia" w:ascii="仿宋" w:hAnsi="仿宋" w:eastAsia="仿宋" w:cs="仿宋"/>
          <w:color w:val="auto"/>
          <w:sz w:val="28"/>
          <w:szCs w:val="28"/>
          <w:highlight w:val="none"/>
          <w:lang w:val="en-US" w:eastAsia="zh-CN"/>
        </w:rPr>
        <w:t>六安市叶集区人民医院姚李分院血液透析信息系统采购项目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LASYJQRMYY-XXK2026-10</w:t>
      </w:r>
      <w:r>
        <w:rPr>
          <w:rFonts w:hint="eastAsia" w:ascii="仿宋" w:hAnsi="仿宋" w:eastAsia="仿宋" w:cs="仿宋"/>
          <w:color w:val="auto"/>
          <w:sz w:val="28"/>
          <w:szCs w:val="28"/>
          <w:highlight w:val="none"/>
        </w:rPr>
        <w:t>）</w:t>
      </w:r>
    </w:p>
    <w:p w14:paraId="2A354698">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项目类型：</w:t>
      </w:r>
      <w:r>
        <w:rPr>
          <w:rFonts w:hint="eastAsia" w:ascii="仿宋" w:hAnsi="仿宋" w:eastAsia="仿宋" w:cs="仿宋"/>
          <w:color w:val="auto"/>
          <w:sz w:val="28"/>
          <w:szCs w:val="28"/>
          <w:highlight w:val="none"/>
        </w:rPr>
        <w:t>服务类</w:t>
      </w:r>
    </w:p>
    <w:p w14:paraId="2DDB59CB">
      <w:pPr>
        <w:pStyle w:val="5"/>
        <w:spacing w:after="0" w:line="560" w:lineRule="exact"/>
        <w:ind w:firstLine="562" w:firstLineChars="200"/>
        <w:rPr>
          <w:rFonts w:hint="default" w:ascii="仿宋" w:hAnsi="仿宋" w:eastAsia="仿宋" w:cs="仿宋"/>
          <w:color w:val="auto"/>
          <w:sz w:val="28"/>
          <w:szCs w:val="28"/>
          <w:highlight w:val="none"/>
          <w:lang w:val="en-US"/>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拟采购服务的说明</w:t>
      </w:r>
      <w:r>
        <w:rPr>
          <w:rFonts w:hint="eastAsia" w:ascii="仿宋" w:hAnsi="仿宋" w:eastAsia="仿宋" w:cs="仿宋"/>
          <w:b/>
          <w:bCs/>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为保持院区业务一体化与系统一致性及数据接口兼容与迁移安全保障，拟采用单一来源方式采购</w:t>
      </w:r>
      <w:r>
        <w:rPr>
          <w:rFonts w:hint="eastAsia" w:ascii="仿宋" w:hAnsi="仿宋" w:eastAsia="仿宋" w:cs="仿宋"/>
          <w:b w:val="0"/>
          <w:bCs w:val="0"/>
          <w:color w:val="auto"/>
          <w:kern w:val="2"/>
          <w:sz w:val="28"/>
          <w:szCs w:val="28"/>
          <w:highlight w:val="none"/>
          <w:lang w:val="en-US" w:eastAsia="zh-CN" w:bidi="ar-SA"/>
        </w:rPr>
        <w:t>。</w:t>
      </w:r>
    </w:p>
    <w:p w14:paraId="21A6B1A2">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拟采购服务的预算金额：</w:t>
      </w:r>
      <w:r>
        <w:rPr>
          <w:rFonts w:hint="eastAsia" w:ascii="仿宋" w:hAnsi="仿宋" w:eastAsia="仿宋" w:cs="仿宋"/>
          <w:b/>
          <w:bCs/>
          <w:color w:val="auto"/>
          <w:sz w:val="28"/>
          <w:szCs w:val="28"/>
          <w:highlight w:val="none"/>
          <w:lang w:val="en-US" w:eastAsia="zh-CN"/>
        </w:rPr>
        <w:t>7.8</w:t>
      </w:r>
      <w:r>
        <w:rPr>
          <w:rFonts w:hint="eastAsia" w:ascii="仿宋" w:hAnsi="仿宋" w:eastAsia="仿宋" w:cs="仿宋"/>
          <w:b/>
          <w:bCs/>
          <w:color w:val="auto"/>
          <w:sz w:val="28"/>
          <w:szCs w:val="28"/>
          <w:highlight w:val="none"/>
        </w:rPr>
        <w:t>万元</w:t>
      </w:r>
    </w:p>
    <w:p w14:paraId="067ECDE1">
      <w:pPr>
        <w:keepNext w:val="0"/>
        <w:keepLines w:val="0"/>
        <w:pageBreakBefore w:val="0"/>
        <w:widowControl w:val="0"/>
        <w:kinsoku/>
        <w:wordWrap w:val="0"/>
        <w:overflowPunct/>
        <w:topLinePunct w:val="0"/>
        <w:autoSpaceDE/>
        <w:autoSpaceDN/>
        <w:bidi w:val="0"/>
        <w:adjustRightInd/>
        <w:snapToGrid/>
        <w:spacing w:line="560" w:lineRule="exact"/>
        <w:ind w:left="559" w:leftChars="266"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采用单一来源采购方式的原因及说明：</w:t>
      </w:r>
    </w:p>
    <w:p w14:paraId="49E48E0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1、院区业务一体化与系统一致性要求</w:t>
      </w:r>
    </w:p>
    <w:p w14:paraId="005B296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六安市第六人民医院拥有本部及姚李两个分区，旗下血透中心纳入医院统一管理。 医院本部血透系统由江苏惠邦信息科技有限公司承建并稳定运行。姚李分院作为统一管理院区，需沿用同一系统平台以确保管理标准、操作流程及质控数据的完全一致。更换厂商将导致两院区系统割裂，无法实现一体化管理目标。</w:t>
      </w:r>
    </w:p>
    <w:p w14:paraId="0A0BADE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2、数据接口兼容与迁移安全保障</w:t>
      </w:r>
    </w:p>
    <w:p w14:paraId="5C00E35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新建系统须与医院现有业务系统及本部血透平台无缝对接。江苏惠邦信息科技有限公司独家掌握现有系统数据接口规范与底层架构，能确保数据安全转换与业务无缝衔接。其他厂商无法在短期内破解接口协议，存在数据丢失与业务中断风险。</w:t>
      </w:r>
    </w:p>
    <w:p w14:paraId="569CA1B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综上，该项目符合《中华人民共和国政府采购法》第三十一条关于“只能从唯一供应商处采购”及“保证原有采购项目一致性”的规定，江苏惠邦信息科技有限公司符合本项目单一来源方式采购。</w:t>
      </w:r>
    </w:p>
    <w:p w14:paraId="047318A0">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拟定供应商信息：</w:t>
      </w:r>
      <w:r>
        <w:rPr>
          <w:rFonts w:hint="eastAsia" w:ascii="仿宋" w:hAnsi="仿宋" w:eastAsia="仿宋" w:cs="仿宋"/>
          <w:b w:val="0"/>
          <w:bCs w:val="0"/>
          <w:color w:val="auto"/>
          <w:sz w:val="28"/>
          <w:szCs w:val="28"/>
          <w:highlight w:val="none"/>
        </w:rPr>
        <w:t>江苏惠邦信息科技有限公司</w:t>
      </w:r>
    </w:p>
    <w:p w14:paraId="1BA3C6DC">
      <w:pPr>
        <w:spacing w:line="56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九、拟定唯一供应商地址：</w:t>
      </w:r>
      <w:r>
        <w:rPr>
          <w:rFonts w:hint="eastAsia" w:ascii="仿宋" w:hAnsi="仿宋" w:eastAsia="仿宋" w:cs="仿宋"/>
          <w:color w:val="auto"/>
          <w:sz w:val="28"/>
          <w:szCs w:val="28"/>
          <w:highlight w:val="none"/>
        </w:rPr>
        <w:t>徐州市鼓楼区黄楼街道环城路80号徐州市医药健康产业园医科大学科技园7层</w:t>
      </w:r>
    </w:p>
    <w:p w14:paraId="01914D61">
      <w:pPr>
        <w:spacing w:line="560" w:lineRule="exact"/>
        <w:ind w:firstLine="560" w:firstLineChars="200"/>
        <w:rPr>
          <w:rFonts w:hint="eastAsia" w:ascii="黑体" w:hAnsi="黑体" w:eastAsia="黑体" w:cs="黑体"/>
          <w:color w:val="auto"/>
          <w:sz w:val="28"/>
          <w:szCs w:val="28"/>
          <w:highlight w:val="none"/>
          <w:vertAlign w:val="baseline"/>
        </w:rPr>
      </w:pPr>
      <w:r>
        <w:rPr>
          <w:rFonts w:hint="eastAsia" w:ascii="仿宋" w:hAnsi="仿宋" w:eastAsia="仿宋" w:cs="仿宋"/>
          <w:color w:val="auto"/>
          <w:sz w:val="28"/>
          <w:szCs w:val="28"/>
          <w:highlight w:val="none"/>
          <w:lang w:val="en-US" w:eastAsia="zh-CN"/>
        </w:rPr>
        <w:t>十、专业人员对相关供应商因具体论证意见：本次“六安市叶集区人民医院姚李分院血液透析信息系统采购项目”具备唯一性与不可替代性。江苏惠邦信息科技有限公司符合符合《中华人民共和国政府采购法》第三十一条关于“只能从唯一供应商处采购”及“保证原有采购项目一致性”的规定，江苏惠邦信息科技有限公司符合本项目单一来源方式采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486"/>
        <w:gridCol w:w="2115"/>
      </w:tblGrid>
      <w:tr w14:paraId="1BD7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38F35ACC">
            <w:pPr>
              <w:spacing w:line="56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姓名</w:t>
            </w:r>
          </w:p>
        </w:tc>
        <w:tc>
          <w:tcPr>
            <w:tcW w:w="4486" w:type="dxa"/>
            <w:vAlign w:val="top"/>
          </w:tcPr>
          <w:p w14:paraId="72D4FF92">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工作单位</w:t>
            </w:r>
          </w:p>
        </w:tc>
        <w:tc>
          <w:tcPr>
            <w:tcW w:w="2115" w:type="dxa"/>
            <w:vAlign w:val="top"/>
          </w:tcPr>
          <w:p w14:paraId="62EE71BA">
            <w:pPr>
              <w:spacing w:line="56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职称/职务</w:t>
            </w:r>
          </w:p>
        </w:tc>
      </w:tr>
      <w:tr w14:paraId="463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687A3024">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柯力</w:t>
            </w:r>
          </w:p>
        </w:tc>
        <w:tc>
          <w:tcPr>
            <w:tcW w:w="4486" w:type="dxa"/>
            <w:vAlign w:val="top"/>
          </w:tcPr>
          <w:p w14:paraId="01265C89">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六安市金安区妇幼保健院</w:t>
            </w:r>
          </w:p>
        </w:tc>
        <w:tc>
          <w:tcPr>
            <w:tcW w:w="2115" w:type="dxa"/>
            <w:vAlign w:val="top"/>
          </w:tcPr>
          <w:p w14:paraId="70DDEA9A">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主治医师</w:t>
            </w:r>
          </w:p>
        </w:tc>
      </w:tr>
      <w:tr w14:paraId="28C3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512686C8">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李靖</w:t>
            </w:r>
          </w:p>
        </w:tc>
        <w:tc>
          <w:tcPr>
            <w:tcW w:w="4486" w:type="dxa"/>
            <w:vAlign w:val="top"/>
          </w:tcPr>
          <w:p w14:paraId="6CD83ECD">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安徽六安技师学院</w:t>
            </w:r>
          </w:p>
        </w:tc>
        <w:tc>
          <w:tcPr>
            <w:tcW w:w="2115" w:type="dxa"/>
            <w:vAlign w:val="top"/>
          </w:tcPr>
          <w:p w14:paraId="4CE44128">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高级讲师</w:t>
            </w:r>
          </w:p>
        </w:tc>
      </w:tr>
      <w:tr w14:paraId="30E3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2C657843">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吴孝俊</w:t>
            </w:r>
          </w:p>
        </w:tc>
        <w:tc>
          <w:tcPr>
            <w:tcW w:w="4486" w:type="dxa"/>
            <w:vAlign w:val="top"/>
          </w:tcPr>
          <w:p w14:paraId="4AABF214">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安徽省六安第一中学</w:t>
            </w:r>
          </w:p>
        </w:tc>
        <w:tc>
          <w:tcPr>
            <w:tcW w:w="2115" w:type="dxa"/>
            <w:vAlign w:val="top"/>
          </w:tcPr>
          <w:p w14:paraId="7BA931BB">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中学高级</w:t>
            </w:r>
          </w:p>
        </w:tc>
      </w:tr>
    </w:tbl>
    <w:p w14:paraId="6B8039C2">
      <w:pPr>
        <w:spacing w:line="560" w:lineRule="exact"/>
        <w:ind w:firstLine="562"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公示期限：</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日。任何供应商、单位或个人对采用单一来源采购方式有异议的，可以在公示期内以书面形式向采购人反映。如无异议，公示结束后将采用单一来源采购方式采购。</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color w:val="auto"/>
          <w:sz w:val="28"/>
          <w:szCs w:val="28"/>
          <w:highlight w:val="none"/>
          <w:lang w:val="en-US" w:eastAsia="zh-CN"/>
        </w:rPr>
        <w:t>十二、协商时间及方式：</w:t>
      </w:r>
      <w:r>
        <w:rPr>
          <w:rFonts w:hint="eastAsia" w:ascii="仿宋" w:hAnsi="仿宋" w:eastAsia="仿宋" w:cs="仿宋"/>
          <w:b/>
          <w:bCs/>
          <w:color w:val="auto"/>
          <w:sz w:val="28"/>
          <w:szCs w:val="28"/>
          <w:highlight w:val="none"/>
          <w:lang w:val="en-US" w:eastAsia="zh-CN"/>
        </w:rPr>
        <w:br w:type="textWrapping"/>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1、协商时间：2026年4月16日下午15时00分</w:t>
      </w:r>
    </w:p>
    <w:p w14:paraId="51441D73">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2、协商方式：现场协商</w:t>
      </w:r>
    </w:p>
    <w:p w14:paraId="11F838A8">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3、协商地点：六安市叶集区人民医院10楼会议室。</w:t>
      </w:r>
    </w:p>
    <w:p w14:paraId="4D14D52A">
      <w:pPr>
        <w:spacing w:line="5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十二、</w:t>
      </w:r>
      <w:r>
        <w:rPr>
          <w:rFonts w:hint="eastAsia" w:ascii="仿宋" w:hAnsi="仿宋" w:eastAsia="仿宋" w:cs="仿宋"/>
          <w:b/>
          <w:bCs/>
          <w:color w:val="auto"/>
          <w:sz w:val="28"/>
          <w:szCs w:val="28"/>
          <w:highlight w:val="none"/>
        </w:rPr>
        <w:t>联系方式</w:t>
      </w:r>
    </w:p>
    <w:p w14:paraId="1E7EA826">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1.采购人：六安市叶集区人民医院（六安市第六人民医院）</w:t>
      </w:r>
    </w:p>
    <w:p w14:paraId="71A39B43">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联系地址：六安市叶集区兴叶大道与民强北路交叉口</w:t>
      </w:r>
    </w:p>
    <w:p w14:paraId="55719D3C">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联系电话：0564-6488599</w:t>
      </w:r>
    </w:p>
    <w:p w14:paraId="6A67206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2.采购代理机构：安徽同方工程咨询有限公司 </w:t>
      </w:r>
    </w:p>
    <w:p w14:paraId="3774AFC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val="en-US" w:eastAsia="zh-CN"/>
        </w:rPr>
        <w:t>胡</w:t>
      </w:r>
      <w:r>
        <w:rPr>
          <w:rFonts w:hint="eastAsia" w:ascii="仿宋" w:hAnsi="仿宋" w:eastAsia="仿宋" w:cs="仿宋"/>
          <w:color w:val="auto"/>
          <w:sz w:val="28"/>
          <w:szCs w:val="28"/>
          <w:highlight w:val="none"/>
        </w:rPr>
        <w:t>工</w:t>
      </w:r>
    </w:p>
    <w:p w14:paraId="72549579">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联系地址：六安市东城路上东阳光城6号楼5楼</w:t>
      </w:r>
    </w:p>
    <w:p w14:paraId="12F7BAC4">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联系电话：0564-3284233</w:t>
      </w:r>
    </w:p>
    <w:p w14:paraId="13A00185">
      <w:pPr>
        <w:spacing w:line="560" w:lineRule="exact"/>
        <w:ind w:firstLine="560" w:firstLineChars="200"/>
        <w:jc w:val="right"/>
        <w:rPr>
          <w:rFonts w:hint="eastAsia" w:ascii="仿宋" w:hAnsi="仿宋" w:eastAsia="仿宋" w:cs="仿宋"/>
          <w:color w:val="auto"/>
          <w:sz w:val="28"/>
          <w:szCs w:val="28"/>
          <w:highlight w:val="none"/>
          <w:lang w:val="en-US" w:eastAsia="zh-CN"/>
        </w:rPr>
      </w:pPr>
    </w:p>
    <w:p w14:paraId="511FDF98">
      <w:pPr>
        <w:spacing w:line="560" w:lineRule="exact"/>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w:t>
      </w:r>
    </w:p>
    <w:p w14:paraId="6554BD3A">
      <w:pPr>
        <w:rPr>
          <w:color w:val="auto"/>
          <w:highlight w:val="none"/>
        </w:rPr>
      </w:pPr>
    </w:p>
    <w:p w14:paraId="34A85350">
      <w:pPr>
        <w:rPr>
          <w:rFonts w:ascii="宋体" w:hAnsi="宋体" w:cs="宋体"/>
          <w:color w:val="auto"/>
          <w:sz w:val="24"/>
          <w:highlight w:val="none"/>
        </w:rPr>
      </w:pPr>
      <w:r>
        <w:rPr>
          <w:rFonts w:hint="eastAsia" w:ascii="宋体" w:hAnsi="宋体" w:cs="宋体"/>
          <w:color w:val="auto"/>
          <w:sz w:val="24"/>
          <w:highlight w:val="none"/>
        </w:rPr>
        <w:br w:type="page"/>
      </w:r>
    </w:p>
    <w:p w14:paraId="4CF34ECF">
      <w:pPr>
        <w:pStyle w:val="3"/>
        <w:spacing w:before="120" w:beforeLines="50" w:after="120" w:afterLines="50" w:line="560" w:lineRule="exact"/>
        <w:jc w:val="center"/>
        <w:rPr>
          <w:rFonts w:asciiTheme="minorEastAsia" w:hAnsiTheme="minorEastAsia" w:eastAsiaTheme="minorEastAsia" w:cstheme="minorEastAsia"/>
          <w:b/>
          <w:bCs/>
          <w:color w:val="auto"/>
          <w:kern w:val="0"/>
          <w:sz w:val="24"/>
          <w:highlight w:val="none"/>
          <w:u w:val="single"/>
        </w:rPr>
      </w:pPr>
      <w:bookmarkStart w:id="2" w:name="_Toc12881"/>
      <w:r>
        <w:rPr>
          <w:rFonts w:hint="eastAsia" w:ascii="宋体" w:hAnsi="宋体" w:eastAsia="宋体" w:cs="宋体"/>
          <w:color w:val="auto"/>
          <w:sz w:val="24"/>
          <w:szCs w:val="24"/>
          <w:highlight w:val="none"/>
        </w:rPr>
        <w:t>第一章 单一来源采购邀请书</w:t>
      </w:r>
      <w:bookmarkEnd w:id="0"/>
      <w:bookmarkEnd w:id="2"/>
    </w:p>
    <w:p w14:paraId="2D8AEA2D">
      <w:pPr>
        <w:spacing w:line="800" w:lineRule="exac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u w:val="single"/>
        </w:rPr>
        <w:t>江苏惠邦信息科技有限公司</w:t>
      </w:r>
      <w:r>
        <w:rPr>
          <w:rFonts w:hint="eastAsia" w:asciiTheme="minorEastAsia" w:hAnsiTheme="minorEastAsia" w:eastAsiaTheme="minorEastAsia" w:cstheme="minorEastAsia"/>
          <w:b/>
          <w:bCs/>
          <w:color w:val="auto"/>
          <w:kern w:val="0"/>
          <w:sz w:val="24"/>
          <w:highlight w:val="none"/>
        </w:rPr>
        <w:t>：</w:t>
      </w:r>
    </w:p>
    <w:p w14:paraId="67A884D5">
      <w:pPr>
        <w:spacing w:line="8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u w:val="single"/>
          <w:lang w:val="en-US" w:eastAsia="zh-CN"/>
        </w:rPr>
        <w:t>六安市叶集区人民医院姚李分院血液透析信息系统采购项目</w:t>
      </w:r>
      <w:r>
        <w:rPr>
          <w:rFonts w:hint="eastAsia" w:asciiTheme="minorEastAsia" w:hAnsiTheme="minorEastAsia" w:eastAsiaTheme="minorEastAsia" w:cstheme="minorEastAsia"/>
          <w:color w:val="auto"/>
          <w:kern w:val="0"/>
          <w:sz w:val="24"/>
          <w:highlight w:val="none"/>
        </w:rPr>
        <w:t>采用单一来源方式进行采购，贵公司为本项目的唯一供应商。请贵公司按照本项目采购文件的要求，编制单一来源响应文件，在供应商须知前附表规定的递交截止时间前</w:t>
      </w:r>
      <w:r>
        <w:rPr>
          <w:rFonts w:hint="eastAsia" w:asciiTheme="minorEastAsia" w:hAnsiTheme="minorEastAsia" w:eastAsiaTheme="minorEastAsia" w:cstheme="minorEastAsia"/>
          <w:color w:val="auto"/>
          <w:kern w:val="0"/>
          <w:sz w:val="24"/>
          <w:highlight w:val="none"/>
          <w:lang w:val="en-US" w:eastAsia="zh-CN"/>
        </w:rPr>
        <w:t>现场</w:t>
      </w:r>
      <w:r>
        <w:rPr>
          <w:rFonts w:hint="eastAsia" w:asciiTheme="minorEastAsia" w:hAnsiTheme="minorEastAsia" w:eastAsiaTheme="minorEastAsia" w:cstheme="minorEastAsia"/>
          <w:color w:val="auto"/>
          <w:kern w:val="0"/>
          <w:sz w:val="24"/>
          <w:highlight w:val="none"/>
        </w:rPr>
        <w:t>递交，并就本项目的商务、技术和报价等有关问题，进行进一步的协商。</w:t>
      </w:r>
    </w:p>
    <w:p w14:paraId="47AF2DE7">
      <w:pPr>
        <w:spacing w:line="800" w:lineRule="exact"/>
        <w:rPr>
          <w:rFonts w:asciiTheme="minorEastAsia" w:hAnsiTheme="minorEastAsia" w:eastAsiaTheme="minorEastAsia" w:cstheme="minorEastAsia"/>
          <w:color w:val="auto"/>
          <w:kern w:val="0"/>
          <w:sz w:val="24"/>
          <w:highlight w:val="none"/>
        </w:rPr>
      </w:pPr>
    </w:p>
    <w:p w14:paraId="7E757980">
      <w:pPr>
        <w:wordWrap w:val="0"/>
        <w:spacing w:line="800" w:lineRule="exact"/>
        <w:ind w:right="480" w:firstLine="3240" w:firstLineChars="1350"/>
        <w:jc w:val="righ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2026</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lang w:val="en-US" w:eastAsia="zh-CN"/>
        </w:rPr>
        <w:t>13</w:t>
      </w:r>
      <w:r>
        <w:rPr>
          <w:rFonts w:hint="eastAsia" w:asciiTheme="minorEastAsia" w:hAnsiTheme="minorEastAsia" w:eastAsiaTheme="minorEastAsia" w:cstheme="minorEastAsia"/>
          <w:color w:val="auto"/>
          <w:kern w:val="0"/>
          <w:sz w:val="24"/>
          <w:highlight w:val="none"/>
        </w:rPr>
        <w:t>日</w:t>
      </w:r>
    </w:p>
    <w:p w14:paraId="4AB1E88F">
      <w:pPr>
        <w:pStyle w:val="33"/>
        <w:spacing w:before="120" w:beforeLines="50" w:after="120" w:afterLines="50" w:line="5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3" w:name="_Toc533314945"/>
      <w:bookmarkStart w:id="4" w:name="_Toc18671550"/>
      <w:bookmarkStart w:id="5" w:name="_Toc23853"/>
      <w:r>
        <w:rPr>
          <w:rStyle w:val="39"/>
          <w:rFonts w:hint="eastAsia" w:ascii="宋体" w:hAnsi="宋体" w:eastAsia="宋体" w:cs="宋体"/>
          <w:b/>
          <w:color w:val="auto"/>
          <w:sz w:val="24"/>
          <w:szCs w:val="24"/>
          <w:highlight w:val="none"/>
        </w:rPr>
        <w:t xml:space="preserve">第二章  </w:t>
      </w:r>
      <w:bookmarkEnd w:id="3"/>
      <w:bookmarkStart w:id="6" w:name="_Toc272163828"/>
      <w:bookmarkStart w:id="7" w:name="_Toc533314946"/>
      <w:r>
        <w:rPr>
          <w:rStyle w:val="39"/>
          <w:rFonts w:hint="eastAsia" w:ascii="宋体" w:hAnsi="宋体" w:eastAsia="宋体" w:cs="宋体"/>
          <w:b/>
          <w:color w:val="auto"/>
          <w:sz w:val="24"/>
          <w:szCs w:val="24"/>
          <w:highlight w:val="none"/>
        </w:rPr>
        <w:t>供应商须知前附表</w:t>
      </w:r>
      <w:bookmarkEnd w:id="4"/>
      <w:bookmarkEnd w:id="5"/>
    </w:p>
    <w:bookmarkEnd w:id="6"/>
    <w:bookmarkEnd w:id="7"/>
    <w:tbl>
      <w:tblPr>
        <w:tblStyle w:val="16"/>
        <w:tblW w:w="90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0"/>
        <w:gridCol w:w="1234"/>
        <w:gridCol w:w="7135"/>
      </w:tblGrid>
      <w:tr w14:paraId="735670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86" w:hRule="atLeast"/>
          <w:jc w:val="center"/>
        </w:trPr>
        <w:tc>
          <w:tcPr>
            <w:tcW w:w="710" w:type="dxa"/>
            <w:vAlign w:val="center"/>
          </w:tcPr>
          <w:p w14:paraId="743F9B6C">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8369" w:type="dxa"/>
            <w:gridSpan w:val="2"/>
            <w:vAlign w:val="center"/>
          </w:tcPr>
          <w:p w14:paraId="12E77D3F">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      容</w:t>
            </w:r>
          </w:p>
        </w:tc>
      </w:tr>
      <w:tr w14:paraId="5CE384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1043C63F">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8369" w:type="dxa"/>
            <w:gridSpan w:val="2"/>
            <w:vAlign w:val="center"/>
          </w:tcPr>
          <w:p w14:paraId="510941AD">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六安市叶集区人民医院姚李分院血液透析信息系统采购项目</w:t>
            </w:r>
          </w:p>
          <w:p w14:paraId="53592E94">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项目编号：</w:t>
            </w:r>
            <w:r>
              <w:rPr>
                <w:rFonts w:hint="eastAsia" w:asciiTheme="minorEastAsia" w:hAnsiTheme="minorEastAsia" w:eastAsiaTheme="minorEastAsia" w:cstheme="minorEastAsia"/>
                <w:color w:val="auto"/>
                <w:sz w:val="24"/>
                <w:highlight w:val="none"/>
                <w:lang w:val="en-US" w:eastAsia="zh-CN"/>
              </w:rPr>
              <w:t>LASYJQRMYY-XXK2026-10</w:t>
            </w:r>
          </w:p>
        </w:tc>
      </w:tr>
      <w:tr w14:paraId="1E4DF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447C16B6">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8369" w:type="dxa"/>
            <w:gridSpan w:val="2"/>
            <w:vAlign w:val="center"/>
          </w:tcPr>
          <w:p w14:paraId="0E6EA87F">
            <w:pPr>
              <w:spacing w:line="48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Cs/>
                <w:color w:val="auto"/>
                <w:sz w:val="24"/>
                <w:highlight w:val="none"/>
              </w:rPr>
              <w:t>采购人名称：</w:t>
            </w:r>
            <w:r>
              <w:rPr>
                <w:rFonts w:hint="eastAsia" w:asciiTheme="minorEastAsia" w:hAnsiTheme="minorEastAsia" w:eastAsiaTheme="minorEastAsia" w:cstheme="minorEastAsia"/>
                <w:bCs/>
                <w:color w:val="auto"/>
                <w:sz w:val="24"/>
                <w:highlight w:val="none"/>
                <w:lang w:val="en-US" w:eastAsia="zh-CN"/>
              </w:rPr>
              <w:t>六安市叶集区人民医院（六安市第六人民医院）</w:t>
            </w:r>
          </w:p>
          <w:p w14:paraId="4C1E9F1E">
            <w:pPr>
              <w:spacing w:line="48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地      址：六安市叶集区兴叶大道与民强北路交叉口</w:t>
            </w:r>
            <w:r>
              <w:rPr>
                <w:rFonts w:hint="eastAsia" w:ascii="宋体" w:hAnsi="宋体" w:cs="宋体"/>
                <w:color w:val="auto"/>
                <w:sz w:val="24"/>
                <w:highlight w:val="none"/>
              </w:rPr>
              <w:t xml:space="preserve">       </w:t>
            </w:r>
          </w:p>
          <w:p w14:paraId="20417A1B">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联 系 方式：0564-6488599  </w:t>
            </w:r>
          </w:p>
        </w:tc>
      </w:tr>
      <w:tr w14:paraId="47A08D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406" w:hRule="atLeast"/>
          <w:jc w:val="center"/>
        </w:trPr>
        <w:tc>
          <w:tcPr>
            <w:tcW w:w="710" w:type="dxa"/>
            <w:vAlign w:val="center"/>
          </w:tcPr>
          <w:p w14:paraId="4F0340FC">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369" w:type="dxa"/>
            <w:gridSpan w:val="2"/>
            <w:vAlign w:val="center"/>
          </w:tcPr>
          <w:p w14:paraId="2A2CE519">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代理机构名称：安徽同方工程咨询有限公司</w:t>
            </w:r>
            <w:r>
              <w:rPr>
                <w:rFonts w:asciiTheme="minorEastAsia" w:hAnsiTheme="minorEastAsia" w:eastAsiaTheme="minorEastAsia" w:cstheme="minorEastAsia"/>
                <w:bCs/>
                <w:color w:val="auto"/>
                <w:sz w:val="24"/>
                <w:highlight w:val="none"/>
              </w:rPr>
              <w:t xml:space="preserve"> </w:t>
            </w:r>
          </w:p>
          <w:p w14:paraId="4C50106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址：六安市东城路上东阳光城6号楼5楼</w:t>
            </w:r>
            <w:r>
              <w:rPr>
                <w:rFonts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w:t>
            </w:r>
          </w:p>
          <w:p w14:paraId="51A74CE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 系 方 式：0564-3284233</w:t>
            </w:r>
          </w:p>
        </w:tc>
      </w:tr>
      <w:tr w14:paraId="739C0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3" w:hRule="atLeast"/>
          <w:jc w:val="center"/>
        </w:trPr>
        <w:tc>
          <w:tcPr>
            <w:tcW w:w="710" w:type="dxa"/>
            <w:vAlign w:val="center"/>
          </w:tcPr>
          <w:p w14:paraId="7F68A093">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4CE04B4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项目类别：服务类</w:t>
            </w:r>
          </w:p>
        </w:tc>
      </w:tr>
      <w:tr w14:paraId="3025D9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603" w:hRule="atLeast"/>
          <w:jc w:val="center"/>
        </w:trPr>
        <w:tc>
          <w:tcPr>
            <w:tcW w:w="710" w:type="dxa"/>
            <w:vAlign w:val="center"/>
          </w:tcPr>
          <w:p w14:paraId="7AF3C028">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8369" w:type="dxa"/>
            <w:gridSpan w:val="2"/>
            <w:vAlign w:val="center"/>
          </w:tcPr>
          <w:p w14:paraId="57DE60E6">
            <w:pPr>
              <w:spacing w:line="48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服务时限：合同签订后18个月，包含系统建设及合同期内的免费维护服务</w:t>
            </w:r>
            <w:r>
              <w:rPr>
                <w:rFonts w:hint="eastAsia" w:asciiTheme="minorEastAsia" w:hAnsiTheme="minorEastAsia" w:eastAsiaTheme="minorEastAsia" w:cstheme="minorEastAsia"/>
                <w:color w:val="auto"/>
                <w:sz w:val="24"/>
                <w:highlight w:val="none"/>
                <w:lang w:eastAsia="zh-CN"/>
              </w:rPr>
              <w:t>。</w:t>
            </w:r>
          </w:p>
        </w:tc>
      </w:tr>
      <w:tr w14:paraId="514B80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5" w:hRule="atLeast"/>
          <w:jc w:val="center"/>
        </w:trPr>
        <w:tc>
          <w:tcPr>
            <w:tcW w:w="710" w:type="dxa"/>
            <w:vAlign w:val="center"/>
          </w:tcPr>
          <w:p w14:paraId="293D4C06">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p>
        </w:tc>
        <w:tc>
          <w:tcPr>
            <w:tcW w:w="1234" w:type="dxa"/>
            <w:vAlign w:val="center"/>
          </w:tcPr>
          <w:p w14:paraId="3FA36092">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w:t>
            </w:r>
          </w:p>
        </w:tc>
        <w:tc>
          <w:tcPr>
            <w:tcW w:w="7135" w:type="dxa"/>
            <w:vAlign w:val="center"/>
          </w:tcPr>
          <w:p w14:paraId="1351ECA8">
            <w:pPr>
              <w:spacing w:line="48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项目验收合格后支付百分之百。</w:t>
            </w:r>
            <w:r>
              <w:rPr>
                <w:rFonts w:hint="eastAsia" w:asciiTheme="minorEastAsia" w:hAnsiTheme="minorEastAsia" w:eastAsiaTheme="minorEastAsia" w:cstheme="minorEastAsia"/>
                <w:color w:val="auto"/>
                <w:sz w:val="24"/>
                <w:highlight w:val="none"/>
                <w:lang w:val="en-US" w:eastAsia="zh-CN"/>
              </w:rPr>
              <w:br w:type="textWrapping"/>
            </w:r>
            <w:r>
              <w:rPr>
                <w:rFonts w:hint="eastAsia" w:asciiTheme="minorEastAsia" w:hAnsiTheme="minorEastAsia" w:eastAsiaTheme="minorEastAsia" w:cstheme="minorEastAsia"/>
                <w:b/>
                <w:bCs/>
                <w:color w:val="auto"/>
                <w:sz w:val="24"/>
                <w:highlight w:val="none"/>
              </w:rPr>
              <w:t>（供应商提交的响应文件中如有关于付款条件的表述与单一来源文</w:t>
            </w:r>
          </w:p>
          <w:p w14:paraId="57E3D45D">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件规定不符，将被视为实质性不响应，将导致响应无效）</w:t>
            </w:r>
          </w:p>
        </w:tc>
      </w:tr>
      <w:tr w14:paraId="46D5E9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1EAF07B4">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p>
        </w:tc>
        <w:tc>
          <w:tcPr>
            <w:tcW w:w="8369" w:type="dxa"/>
            <w:gridSpan w:val="2"/>
            <w:vAlign w:val="center"/>
          </w:tcPr>
          <w:p w14:paraId="2F7AC671">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履约保证金：1、成交供应商在签订合同时应向采购人提交合同总价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%的履约保证金。</w:t>
            </w:r>
          </w:p>
          <w:p w14:paraId="62F6981E">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2、成交供应商可以通过转账、网银支付、汇票、支票、保证保险、担保保函、银行履约保函等方式提交履约保证金。</w:t>
            </w:r>
          </w:p>
          <w:p w14:paraId="37594029">
            <w:pPr>
              <w:pStyle w:val="15"/>
              <w:spacing w:after="0" w:line="480" w:lineRule="exact"/>
              <w:ind w:firstLine="0"/>
              <w:rPr>
                <w:color w:val="auto"/>
                <w:highlight w:val="none"/>
              </w:rPr>
            </w:pPr>
            <w:r>
              <w:rPr>
                <w:rFonts w:hint="eastAsia"/>
                <w:color w:val="auto"/>
                <w:highlight w:val="none"/>
              </w:rPr>
              <w:t>3、项目验收结束后应及时退还履约保证金。</w:t>
            </w:r>
          </w:p>
        </w:tc>
      </w:tr>
      <w:tr w14:paraId="0F9828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5A9214C0">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8369" w:type="dxa"/>
            <w:gridSpan w:val="2"/>
            <w:vAlign w:val="center"/>
          </w:tcPr>
          <w:p w14:paraId="39E9349A">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响应有效期：公示结束60日内。</w:t>
            </w:r>
          </w:p>
        </w:tc>
      </w:tr>
      <w:tr w14:paraId="0893C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419C3900">
            <w:pPr>
              <w:spacing w:line="48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8369" w:type="dxa"/>
            <w:gridSpan w:val="2"/>
            <w:vAlign w:val="center"/>
          </w:tcPr>
          <w:p w14:paraId="626CE276">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勘察现场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请各供应商联系采购单位自行勘踏。 </w:t>
            </w:r>
          </w:p>
        </w:tc>
      </w:tr>
      <w:tr w14:paraId="15BD9C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0A8C2786">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8369" w:type="dxa"/>
            <w:gridSpan w:val="2"/>
            <w:vAlign w:val="center"/>
          </w:tcPr>
          <w:p w14:paraId="631F9E6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单一来源采购响应文件份数及要求：正本1份、副本</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份，胶装成册、密封提交。</w:t>
            </w:r>
          </w:p>
        </w:tc>
      </w:tr>
      <w:tr w14:paraId="0A12C5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157459A9">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8369" w:type="dxa"/>
            <w:gridSpan w:val="2"/>
            <w:vAlign w:val="center"/>
          </w:tcPr>
          <w:p w14:paraId="1E3B736D">
            <w:pPr>
              <w:pStyle w:val="37"/>
              <w:pBdr>
                <w:bottom w:val="none" w:color="auto" w:sz="0" w:space="0"/>
              </w:pBdr>
              <w:tabs>
                <w:tab w:val="left" w:pos="420"/>
              </w:tabs>
              <w:adjustRightInd/>
              <w:spacing w:line="4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质疑与答疑：1、供应商如果对采购文件内容有相关疑问，可以发邮件向采购代理机构提出（疑问文件以文档形式提供，如WORD文档等）。代理机构邮箱地址为1610920774@qq.com；</w:t>
            </w:r>
          </w:p>
          <w:p w14:paraId="65216E23">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2、提交成功后疑问文件即传至采购人（采购代理机构），后续答疑以书面形式通知。</w:t>
            </w:r>
          </w:p>
        </w:tc>
      </w:tr>
      <w:tr w14:paraId="181C67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364" w:hRule="atLeast"/>
          <w:jc w:val="center"/>
        </w:trPr>
        <w:tc>
          <w:tcPr>
            <w:tcW w:w="710" w:type="dxa"/>
            <w:vAlign w:val="center"/>
          </w:tcPr>
          <w:p w14:paraId="5E37E1C8">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8369" w:type="dxa"/>
            <w:gridSpan w:val="2"/>
            <w:vAlign w:val="center"/>
          </w:tcPr>
          <w:p w14:paraId="51FB7456">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协商时间及方式：</w:t>
            </w:r>
          </w:p>
          <w:p w14:paraId="58F4F627">
            <w:pPr>
              <w:spacing w:line="480" w:lineRule="exact"/>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rPr>
              <w:t>1、协商时间：</w:t>
            </w:r>
            <w:r>
              <w:rPr>
                <w:rFonts w:hint="eastAsia" w:asciiTheme="minorEastAsia" w:hAnsiTheme="minorEastAsia" w:eastAsiaTheme="minorEastAsia" w:cstheme="minorEastAsia"/>
                <w:bCs/>
                <w:color w:val="auto"/>
                <w:sz w:val="24"/>
                <w:highlight w:val="none"/>
                <w:lang w:val="en-US" w:eastAsia="zh-CN"/>
              </w:rPr>
              <w:t>同公告截止时间。</w:t>
            </w:r>
          </w:p>
          <w:p w14:paraId="3693FFCA">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2、协商方式：</w:t>
            </w:r>
            <w:r>
              <w:rPr>
                <w:rFonts w:hint="eastAsia" w:asciiTheme="minorEastAsia" w:hAnsiTheme="minorEastAsia" w:eastAsiaTheme="minorEastAsia" w:cstheme="minorEastAsia"/>
                <w:bCs/>
                <w:color w:val="auto"/>
                <w:sz w:val="24"/>
                <w:highlight w:val="none"/>
                <w:lang w:val="en-US" w:eastAsia="zh-CN"/>
              </w:rPr>
              <w:t>现场</w:t>
            </w:r>
            <w:r>
              <w:rPr>
                <w:rFonts w:hint="eastAsia" w:asciiTheme="minorEastAsia" w:hAnsiTheme="minorEastAsia" w:eastAsiaTheme="minorEastAsia" w:cstheme="minorEastAsia"/>
                <w:bCs/>
                <w:color w:val="auto"/>
                <w:sz w:val="24"/>
                <w:highlight w:val="none"/>
              </w:rPr>
              <w:t>协商</w:t>
            </w:r>
          </w:p>
        </w:tc>
      </w:tr>
      <w:tr w14:paraId="740672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142AE3EE">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8369" w:type="dxa"/>
            <w:gridSpan w:val="2"/>
            <w:vAlign w:val="center"/>
          </w:tcPr>
          <w:p w14:paraId="1CBB4D0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响应文件递交截止时间：同本项目协商时间。</w:t>
            </w:r>
          </w:p>
        </w:tc>
      </w:tr>
      <w:tr w14:paraId="36B78D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1FB518C4">
            <w:pPr>
              <w:spacing w:line="480" w:lineRule="exact"/>
              <w:jc w:val="center"/>
              <w:rPr>
                <w:rFonts w:hint="eastAsia" w:asciiTheme="minorEastAsia" w:hAnsiTheme="minorEastAsia" w:eastAsiaTheme="minorEastAsia" w:cstheme="minorEastAsia"/>
                <w:color w:val="auto"/>
                <w:sz w:val="24"/>
                <w:highlight w:val="none"/>
                <w:lang w:eastAsia="zh-CN"/>
              </w:rPr>
            </w:pPr>
            <w:bookmarkStart w:id="8" w:name="_Hlk450145192"/>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1F870461">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1、存在以下不良信用记录情形之一的，不得推荐为成交候选供应商：</w:t>
            </w:r>
          </w:p>
          <w:p w14:paraId="1E5940AF">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（1）供应商被人民法院列入失信被执行人的；</w:t>
            </w:r>
          </w:p>
          <w:p w14:paraId="179AB79B">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（2）供应商被市场监督管理部门列入严重违法失信企业名录；</w:t>
            </w:r>
          </w:p>
          <w:p w14:paraId="335D19C8">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（3）供应商被税务部门列入重大税收违法案件当事人名单的；</w:t>
            </w:r>
          </w:p>
          <w:p w14:paraId="0E49701A">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（4）供应商被政府采购监管部门列入政府采购严重违法失信行为记录名单的。</w:t>
            </w:r>
          </w:p>
          <w:p w14:paraId="75A370AA">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2、联合体供应商，联合体任何一方存在上述不良信用记录的，视同联合体存在不良信用记录。</w:t>
            </w:r>
          </w:p>
          <w:p w14:paraId="45E2D536">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3、不良信用记录查询渠道如下：</w:t>
            </w:r>
          </w:p>
          <w:p w14:paraId="23EA9737">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（1）失信被执行人：信用中国官网（www.creditchina.gov.cn）</w:t>
            </w:r>
          </w:p>
          <w:p w14:paraId="1164A852">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（2）企业经营异常名录：信用中国官网（www.creditchina.gov.cn）</w:t>
            </w:r>
          </w:p>
          <w:p w14:paraId="33F52806">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（3）重大税收违法案件当事人名单：信用中国官网（www.creditchina.gov.cn）</w:t>
            </w:r>
          </w:p>
          <w:p w14:paraId="078FE14F">
            <w:pPr>
              <w:pStyle w:val="37"/>
              <w:pBdr>
                <w:bottom w:val="none" w:color="auto" w:sz="0" w:space="0"/>
              </w:pBdr>
              <w:tabs>
                <w:tab w:val="clear" w:pos="4153"/>
                <w:tab w:val="clear" w:pos="8306"/>
              </w:tabs>
              <w:adjustRightInd/>
              <w:spacing w:line="460" w:lineRule="exact"/>
              <w:jc w:val="left"/>
              <w:textAlignment w:val="auto"/>
              <w:rPr>
                <w:rFonts w:ascii="宋体" w:hAnsi="宋体"/>
                <w:bCs/>
                <w:kern w:val="2"/>
                <w:szCs w:val="24"/>
                <w:highlight w:val="none"/>
              </w:rPr>
            </w:pPr>
            <w:r>
              <w:rPr>
                <w:rFonts w:hint="eastAsia" w:ascii="宋体" w:hAnsi="宋体"/>
                <w:bCs/>
                <w:kern w:val="2"/>
                <w:szCs w:val="24"/>
                <w:highlight w:val="none"/>
              </w:rPr>
              <w:t>（4）政府采购严重违法失信行为记录名单：中国政府采购官网（www.ccgp.gov.cn）</w:t>
            </w:r>
          </w:p>
          <w:p w14:paraId="08941F0E">
            <w:pPr>
              <w:pStyle w:val="37"/>
              <w:pBdr>
                <w:bottom w:val="none" w:color="auto" w:sz="0" w:space="0"/>
              </w:pBdr>
              <w:tabs>
                <w:tab w:val="clear" w:pos="4153"/>
                <w:tab w:val="clear" w:pos="8306"/>
              </w:tabs>
              <w:adjustRightInd/>
              <w:spacing w:line="460" w:lineRule="exact"/>
              <w:jc w:val="left"/>
              <w:textAlignment w:val="auto"/>
              <w:rPr>
                <w:rFonts w:asciiTheme="minorEastAsia" w:hAnsiTheme="minorEastAsia" w:eastAsiaTheme="minorEastAsia" w:cstheme="minorEastAsia"/>
                <w:color w:val="auto"/>
                <w:sz w:val="24"/>
                <w:highlight w:val="none"/>
              </w:rPr>
            </w:pPr>
            <w:r>
              <w:rPr>
                <w:rFonts w:hint="eastAsia" w:ascii="宋体" w:hAnsi="宋体" w:cs="Times New Roman"/>
                <w:bCs/>
                <w:kern w:val="2"/>
                <w:szCs w:val="24"/>
                <w:highlight w:val="none"/>
              </w:rPr>
              <w:t>特别提醒：供应商参与</w:t>
            </w:r>
            <w:r>
              <w:rPr>
                <w:rFonts w:hint="eastAsia" w:ascii="宋体" w:hAnsi="宋体" w:cs="Times New Roman"/>
                <w:bCs/>
                <w:kern w:val="2"/>
                <w:szCs w:val="24"/>
                <w:highlight w:val="none"/>
                <w:lang w:val="en-US" w:eastAsia="zh-CN"/>
              </w:rPr>
              <w:t>采购活动</w:t>
            </w:r>
            <w:r>
              <w:rPr>
                <w:rFonts w:hint="eastAsia" w:ascii="宋体" w:hAnsi="宋体" w:cs="Times New Roman"/>
                <w:bCs/>
                <w:kern w:val="2"/>
                <w:szCs w:val="24"/>
                <w:highlight w:val="none"/>
              </w:rPr>
              <w:t>，应当诚信守法、公平竞争。如有以提供虚假材料（包括但不限于虚假技术参数响应、虚假业绩、虚假证书、虚假检测报告等）、串通投标、隐瞒失信信息等谋取中标的行为，一经发现，将报</w:t>
            </w:r>
            <w:r>
              <w:rPr>
                <w:rFonts w:hint="eastAsia" w:ascii="宋体" w:hAnsi="宋体" w:cs="Times New Roman"/>
                <w:bCs/>
                <w:kern w:val="2"/>
                <w:szCs w:val="24"/>
                <w:highlight w:val="none"/>
                <w:lang w:val="en-US"/>
              </w:rPr>
              <w:t>相关</w:t>
            </w:r>
            <w:r>
              <w:rPr>
                <w:rFonts w:hint="eastAsia" w:ascii="宋体" w:hAnsi="宋体" w:cs="Times New Roman"/>
                <w:bCs/>
                <w:kern w:val="2"/>
                <w:szCs w:val="24"/>
                <w:highlight w:val="none"/>
              </w:rPr>
              <w:t>监管部门严肃查处。</w:t>
            </w:r>
          </w:p>
        </w:tc>
      </w:tr>
      <w:tr w14:paraId="6A5216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4A6E9747">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8369" w:type="dxa"/>
            <w:gridSpan w:val="2"/>
            <w:vAlign w:val="center"/>
          </w:tcPr>
          <w:p w14:paraId="73EA243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递交响应文件注意事项：响应文件必须在询价截止时间前递交。</w:t>
            </w:r>
          </w:p>
        </w:tc>
      </w:tr>
      <w:tr w14:paraId="047A98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84" w:hRule="atLeast"/>
          <w:jc w:val="center"/>
        </w:trPr>
        <w:tc>
          <w:tcPr>
            <w:tcW w:w="710" w:type="dxa"/>
            <w:vAlign w:val="center"/>
          </w:tcPr>
          <w:p w14:paraId="14CA075D">
            <w:pPr>
              <w:tabs>
                <w:tab w:val="left" w:pos="441"/>
              </w:tabs>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w:t>
            </w:r>
          </w:p>
        </w:tc>
        <w:tc>
          <w:tcPr>
            <w:tcW w:w="8369" w:type="dxa"/>
            <w:gridSpan w:val="2"/>
            <w:vAlign w:val="center"/>
          </w:tcPr>
          <w:p w14:paraId="66BD8A8F">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1、支付方</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 xml:space="preserve">采购人  </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成交供应商</w:t>
            </w:r>
          </w:p>
          <w:p w14:paraId="4D5863D8">
            <w:pPr>
              <w:spacing w:line="500" w:lineRule="exact"/>
              <w:jc w:val="left"/>
              <w:rPr>
                <w:rFonts w:hint="default"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2、收费标准：</w:t>
            </w:r>
            <w:r>
              <w:rPr>
                <w:rFonts w:hint="eastAsia" w:ascii="宋体" w:hAnsi="宋体" w:cs="宋体"/>
                <w:b w:val="0"/>
                <w:bCs w:val="0"/>
                <w:color w:val="auto"/>
                <w:sz w:val="24"/>
                <w:highlight w:val="none"/>
                <w:lang w:val="en-US" w:eastAsia="zh-CN"/>
              </w:rPr>
              <w:t>本项目为固定收费3000.00元。</w:t>
            </w:r>
          </w:p>
          <w:p w14:paraId="596CB9ED">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3、收取方式：</w:t>
            </w:r>
            <w:r>
              <w:rPr>
                <w:rFonts w:hint="eastAsia" w:ascii="宋体" w:hAnsi="宋体" w:eastAsia="宋体" w:cs="宋体"/>
                <w:b w:val="0"/>
                <w:bCs w:val="0"/>
                <w:color w:val="auto"/>
                <w:sz w:val="24"/>
                <w:highlight w:val="none"/>
                <w:lang w:val="en-US" w:eastAsia="zh-CN"/>
              </w:rPr>
              <w:t>银行转账。</w:t>
            </w:r>
          </w:p>
          <w:p w14:paraId="502FCFCD">
            <w:pPr>
              <w:spacing w:line="5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4、代理服务费缴纳账户：</w:t>
            </w:r>
          </w:p>
          <w:p w14:paraId="60E8EE0A">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户名：安徽同方工程咨询有限公司 </w:t>
            </w:r>
          </w:p>
          <w:p w14:paraId="14D27D74">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开户行：徽商银行六安解放路恒源支行 </w:t>
            </w:r>
          </w:p>
          <w:p w14:paraId="2D89AF41">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账号：000000602003900000243</w:t>
            </w:r>
          </w:p>
          <w:p w14:paraId="2A558DB1">
            <w:pPr>
              <w:pStyle w:val="15"/>
              <w:ind w:left="0" w:leftChars="0" w:firstLine="0" w:firstLineChars="0"/>
              <w:rPr>
                <w:rFonts w:hint="eastAsia" w:ascii="Times New Roman" w:hAnsi="Times New Roman"/>
                <w:b w:val="0"/>
                <w:bCs w:val="0"/>
                <w:color w:val="auto"/>
                <w:highlight w:val="none"/>
                <w:lang w:val="en-US" w:eastAsia="zh-CN"/>
              </w:rPr>
            </w:pPr>
            <w:r>
              <w:rPr>
                <w:rFonts w:hint="eastAsia" w:ascii="宋体" w:hAnsi="宋体" w:eastAsia="宋体" w:cs="宋体"/>
                <w:b/>
                <w:bCs/>
                <w:color w:val="auto"/>
                <w:sz w:val="24"/>
                <w:highlight w:val="none"/>
                <w:lang w:val="en-US" w:eastAsia="zh-CN"/>
              </w:rPr>
              <w:t>5、代理服务费须从成交供应商账户转出，并备注项目名称。</w:t>
            </w:r>
          </w:p>
        </w:tc>
      </w:tr>
    </w:tbl>
    <w:p w14:paraId="49A2B2A6">
      <w:pPr>
        <w:pStyle w:val="3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9" w:name="_Toc272163829"/>
      <w:bookmarkStart w:id="10" w:name="_Toc533314947"/>
    </w:p>
    <w:p w14:paraId="7C5B3DD7">
      <w:pPr>
        <w:pStyle w:val="3"/>
        <w:spacing w:before="240" w:beforeLines="100" w:after="0" w:line="600" w:lineRule="exact"/>
        <w:jc w:val="center"/>
        <w:rPr>
          <w:rFonts w:ascii="宋体" w:hAnsi="宋体" w:eastAsia="宋体" w:cs="宋体"/>
          <w:color w:val="auto"/>
          <w:sz w:val="24"/>
          <w:szCs w:val="24"/>
          <w:highlight w:val="none"/>
        </w:rPr>
      </w:pPr>
      <w:bookmarkStart w:id="11" w:name="_Toc18671555"/>
      <w:bookmarkStart w:id="12" w:name="_Toc27663"/>
      <w:r>
        <w:rPr>
          <w:rFonts w:hint="eastAsia" w:ascii="宋体" w:hAnsi="宋体" w:eastAsia="宋体" w:cs="宋体"/>
          <w:color w:val="auto"/>
          <w:sz w:val="24"/>
          <w:szCs w:val="24"/>
          <w:highlight w:val="none"/>
        </w:rPr>
        <w:t>第三章  供应商须知</w:t>
      </w:r>
      <w:bookmarkEnd w:id="8"/>
      <w:bookmarkEnd w:id="9"/>
      <w:bookmarkEnd w:id="10"/>
      <w:bookmarkEnd w:id="11"/>
      <w:bookmarkEnd w:id="12"/>
    </w:p>
    <w:p w14:paraId="0E8C9D74">
      <w:pPr>
        <w:pStyle w:val="3"/>
        <w:spacing w:before="120" w:beforeLines="50" w:after="120" w:afterLines="50" w:line="500" w:lineRule="exact"/>
        <w:jc w:val="center"/>
        <w:rPr>
          <w:rFonts w:ascii="宋体" w:hAnsi="宋体" w:eastAsia="宋体" w:cs="宋体"/>
          <w:color w:val="auto"/>
          <w:sz w:val="24"/>
          <w:szCs w:val="24"/>
          <w:highlight w:val="none"/>
        </w:rPr>
      </w:pPr>
      <w:bookmarkStart w:id="13" w:name="_Toc2350"/>
      <w:bookmarkStart w:id="14" w:name="_Toc18671556"/>
      <w:bookmarkStart w:id="15" w:name="_Toc14197"/>
      <w:r>
        <w:rPr>
          <w:rFonts w:hint="eastAsia" w:ascii="宋体" w:hAnsi="宋体" w:eastAsia="宋体" w:cs="宋体"/>
          <w:color w:val="auto"/>
          <w:sz w:val="24"/>
          <w:szCs w:val="24"/>
          <w:highlight w:val="none"/>
        </w:rPr>
        <w:t>一、总则</w:t>
      </w:r>
      <w:bookmarkEnd w:id="13"/>
      <w:bookmarkEnd w:id="14"/>
      <w:bookmarkEnd w:id="15"/>
    </w:p>
    <w:p w14:paraId="178BFA8E">
      <w:pPr>
        <w:spacing w:line="500" w:lineRule="exact"/>
        <w:rPr>
          <w:rFonts w:asciiTheme="minorEastAsia" w:hAnsiTheme="minorEastAsia" w:eastAsiaTheme="minorEastAsia" w:cstheme="minorEastAsia"/>
          <w:b/>
          <w:color w:val="auto"/>
          <w:sz w:val="24"/>
          <w:highlight w:val="none"/>
        </w:rPr>
      </w:pPr>
      <w:bookmarkStart w:id="16" w:name="_Toc533314952"/>
      <w:bookmarkStart w:id="17" w:name="_Toc272163834"/>
      <w:r>
        <w:rPr>
          <w:rFonts w:hint="eastAsia" w:asciiTheme="minorEastAsia" w:hAnsiTheme="minorEastAsia" w:eastAsiaTheme="minorEastAsia" w:cstheme="minorEastAsia"/>
          <w:b/>
          <w:color w:val="auto"/>
          <w:sz w:val="24"/>
          <w:highlight w:val="none"/>
        </w:rPr>
        <w:t>1、适用范围</w:t>
      </w:r>
    </w:p>
    <w:p w14:paraId="0F9C6B02">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1.1本文件是根据《中华人民共和国政府采购法》等相关法律、法规制订。</w:t>
      </w:r>
    </w:p>
    <w:p w14:paraId="3E576B2D">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本采购文件的最终解释权归项目单位所有。</w:t>
      </w:r>
    </w:p>
    <w:p w14:paraId="5ED2870E">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457D9B6E">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b/>
          <w:color w:val="auto"/>
          <w:sz w:val="24"/>
          <w:highlight w:val="none"/>
        </w:rPr>
        <w:t>服务：</w:t>
      </w:r>
      <w:r>
        <w:rPr>
          <w:rFonts w:hint="eastAsia" w:asciiTheme="minorEastAsia" w:hAnsiTheme="minorEastAsia" w:eastAsiaTheme="minorEastAsia" w:cstheme="minorEastAsia"/>
          <w:color w:val="auto"/>
          <w:sz w:val="24"/>
          <w:highlight w:val="none"/>
        </w:rPr>
        <w:t>既是指本范本适用于服务采购。</w:t>
      </w:r>
    </w:p>
    <w:p w14:paraId="6D3ABDB1">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r>
        <w:rPr>
          <w:rFonts w:hint="eastAsia" w:asciiTheme="minorEastAsia" w:hAnsiTheme="minorEastAsia" w:eastAsiaTheme="minorEastAsia" w:cstheme="minorEastAsia"/>
          <w:b/>
          <w:color w:val="auto"/>
          <w:sz w:val="24"/>
          <w:highlight w:val="none"/>
        </w:rPr>
        <w:t>采购人：</w:t>
      </w:r>
      <w:r>
        <w:rPr>
          <w:rFonts w:hint="eastAsia" w:asciiTheme="minorEastAsia" w:hAnsiTheme="minorEastAsia" w:eastAsiaTheme="minorEastAsia" w:cstheme="minorEastAsia"/>
          <w:color w:val="auto"/>
          <w:sz w:val="24"/>
          <w:highlight w:val="none"/>
        </w:rPr>
        <w:t>项目单位（采购人）的总称。</w:t>
      </w:r>
    </w:p>
    <w:p w14:paraId="0D510528">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3、供应商资格要求：</w:t>
      </w:r>
      <w:r>
        <w:rPr>
          <w:rFonts w:hint="eastAsia" w:asciiTheme="minorEastAsia" w:hAnsiTheme="minorEastAsia" w:eastAsiaTheme="minorEastAsia" w:cstheme="minorEastAsia"/>
          <w:color w:val="auto"/>
          <w:sz w:val="24"/>
          <w:highlight w:val="none"/>
        </w:rPr>
        <w:t>符合政府采购法等法律法规的相关规定。</w:t>
      </w:r>
    </w:p>
    <w:p w14:paraId="726346E7">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4、供应商参与采购活动的费用</w:t>
      </w:r>
    </w:p>
    <w:p w14:paraId="230615EE">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4.1供应商必须自行承担所有与参加采购活动的有关费用。不论结果如何，采购人在任何情况下均无义务和责任承担这些费用。</w:t>
      </w:r>
    </w:p>
    <w:p w14:paraId="50AB5389">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5、保密</w:t>
      </w:r>
    </w:p>
    <w:p w14:paraId="2389F8CA">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参与采购活动的各方主体应对服务类单一来源采购文件和单一来源响应文件中的商业和技术等秘密保密，违者应对由此造成的后果承担法律责任。</w:t>
      </w:r>
    </w:p>
    <w:p w14:paraId="7EE95748">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6、语言文字</w:t>
      </w:r>
    </w:p>
    <w:p w14:paraId="2E862C79">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单一来源及其响应文件使用的语言文字</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供应商与采购人就单一来源采购相关事项的所有往来函电均须使用简体中文（部分专用术语需使用外文的除外）。</w:t>
      </w:r>
    </w:p>
    <w:p w14:paraId="657A476D">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7、计量单位</w:t>
      </w:r>
    </w:p>
    <w:p w14:paraId="3D849DDB">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14987E1F">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8、勘察现场</w:t>
      </w:r>
    </w:p>
    <w:p w14:paraId="41D3A29D">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采购人根据项目的具体情况，可以组织单一来源供应商现场考察。</w:t>
      </w:r>
    </w:p>
    <w:p w14:paraId="2913DB4C">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9、偏离</w:t>
      </w:r>
    </w:p>
    <w:p w14:paraId="3D352E8A">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若服务类单一来源采购文件允许响应文件偏离某些要求，偏离应当符合单一来源文件规定的偏离范围和幅度。</w:t>
      </w:r>
    </w:p>
    <w:p w14:paraId="782C0B4C">
      <w:pPr>
        <w:pStyle w:val="3"/>
        <w:spacing w:before="120" w:beforeLines="50" w:after="120" w:afterLines="50" w:line="500" w:lineRule="exact"/>
        <w:jc w:val="center"/>
        <w:rPr>
          <w:rFonts w:ascii="宋体" w:hAnsi="宋体" w:eastAsia="宋体" w:cs="宋体"/>
          <w:color w:val="auto"/>
          <w:sz w:val="24"/>
          <w:szCs w:val="24"/>
          <w:highlight w:val="none"/>
        </w:rPr>
      </w:pPr>
      <w:bookmarkStart w:id="18" w:name="_Toc18671557"/>
      <w:bookmarkStart w:id="19" w:name="_Toc12653"/>
      <w:bookmarkStart w:id="20" w:name="_Toc14801"/>
      <w:r>
        <w:rPr>
          <w:rFonts w:hint="eastAsia" w:ascii="宋体" w:hAnsi="宋体" w:eastAsia="宋体" w:cs="宋体"/>
          <w:color w:val="auto"/>
          <w:sz w:val="24"/>
          <w:szCs w:val="24"/>
          <w:highlight w:val="none"/>
        </w:rPr>
        <w:t>二、</w:t>
      </w:r>
      <w:bookmarkEnd w:id="18"/>
      <w:r>
        <w:rPr>
          <w:rFonts w:hint="eastAsia" w:ascii="宋体" w:hAnsi="宋体" w:eastAsia="宋体" w:cs="宋体"/>
          <w:color w:val="auto"/>
          <w:sz w:val="24"/>
          <w:szCs w:val="24"/>
          <w:highlight w:val="none"/>
        </w:rPr>
        <w:t>服务类单一来源采购文件</w:t>
      </w:r>
      <w:bookmarkEnd w:id="19"/>
      <w:bookmarkEnd w:id="20"/>
    </w:p>
    <w:p w14:paraId="2FDC9DE4">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10采购文件构成</w:t>
      </w:r>
    </w:p>
    <w:p w14:paraId="25FECCFB">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10.1采购文件包括：</w:t>
      </w:r>
    </w:p>
    <w:p w14:paraId="48F1EED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单一来源采购邀请书</w:t>
      </w:r>
    </w:p>
    <w:p w14:paraId="3DEF720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供应商须知前附表</w:t>
      </w:r>
    </w:p>
    <w:p w14:paraId="72E7560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供应商须知</w:t>
      </w:r>
    </w:p>
    <w:p w14:paraId="40D6584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采购需求</w:t>
      </w:r>
    </w:p>
    <w:p w14:paraId="7673905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单一来源响应文件</w:t>
      </w:r>
    </w:p>
    <w:p w14:paraId="45595045">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10.2供应商应认真阅读和充分理解服务类单一来源采购文件中所有的内容。如果其单一来源响应文件没有满足服务类单一来源采购文件的有关要求，其风险由供应商自行承担。</w:t>
      </w:r>
    </w:p>
    <w:p w14:paraId="48BDD84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11、服务类单一来源采购文件的澄清和修改</w:t>
      </w:r>
    </w:p>
    <w:p w14:paraId="71862E6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11.1采购人认为服务类单一来源采购文件未表述清楚的，可以进行澄清并书面通知供应商。</w:t>
      </w:r>
    </w:p>
    <w:p w14:paraId="55FA9EB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11.2 供应商认为服务类单一来源采购文件表述不清的，可以要求采购人作出解释。 </w:t>
      </w:r>
    </w:p>
    <w:p w14:paraId="2DA40384">
      <w:pPr>
        <w:pStyle w:val="3"/>
        <w:spacing w:before="120" w:beforeLines="50" w:after="120" w:afterLines="50" w:line="480" w:lineRule="exact"/>
        <w:jc w:val="center"/>
        <w:rPr>
          <w:rFonts w:ascii="宋体" w:hAnsi="宋体" w:eastAsia="宋体" w:cs="宋体"/>
          <w:color w:val="auto"/>
          <w:sz w:val="24"/>
          <w:szCs w:val="24"/>
          <w:highlight w:val="none"/>
        </w:rPr>
      </w:pPr>
      <w:bookmarkStart w:id="21" w:name="_Toc2231"/>
      <w:bookmarkStart w:id="22" w:name="_Toc18671558"/>
      <w:bookmarkStart w:id="23" w:name="_Toc24324"/>
      <w:r>
        <w:rPr>
          <w:rFonts w:hint="eastAsia" w:ascii="宋体" w:hAnsi="宋体" w:eastAsia="宋体" w:cs="宋体"/>
          <w:color w:val="auto"/>
          <w:sz w:val="24"/>
          <w:szCs w:val="24"/>
          <w:highlight w:val="none"/>
        </w:rPr>
        <w:t>三、单一来源响应文件的编制</w:t>
      </w:r>
      <w:bookmarkEnd w:id="21"/>
      <w:bookmarkEnd w:id="22"/>
      <w:bookmarkEnd w:id="23"/>
    </w:p>
    <w:p w14:paraId="3EB61A2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12、单一来源响应文件构成</w:t>
      </w:r>
    </w:p>
    <w:p w14:paraId="595AEA4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12.1响应文件必须按照本文件规定的内容和顺序进行编写。</w:t>
      </w:r>
    </w:p>
    <w:p w14:paraId="7D9A8DFF">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12.2供应商必须对其响应文件的真实性与准确性负责。供应商一旦成为成交供应商，其响应文件将作为合同的重要组成部分。 </w:t>
      </w:r>
    </w:p>
    <w:p w14:paraId="771AA211">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12.3供应商不得在未征得采购人许可的情况下，擅自对服务类单一来源采购文件条款和技术要求进行修改。</w:t>
      </w:r>
    </w:p>
    <w:p w14:paraId="1A21D6D5">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12.4证明供应商合格的资格文件</w:t>
      </w:r>
    </w:p>
    <w:p w14:paraId="6DF2C03A">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12.4.1应包括服务类单一来源采购文件要求的证明其有资格参加采购活动</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之后有能力履行合同的证明文件。</w:t>
      </w:r>
    </w:p>
    <w:p w14:paraId="28DBD5D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13、单一来源报价</w:t>
      </w:r>
    </w:p>
    <w:p w14:paraId="1AC5CA3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13.1本项目只允许一个方案、一个报价。多方案、多报价的响应文件将不被接受。</w:t>
      </w:r>
    </w:p>
    <w:p w14:paraId="7E4FD714">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13.2服务类项目适用：响应总报价应包括完成本项目的费用、税费、等所有费用，即为履行合同的最终价格。</w:t>
      </w:r>
    </w:p>
    <w:p w14:paraId="01F1923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13.3供应商响应的货币为人民币。</w:t>
      </w:r>
    </w:p>
    <w:p w14:paraId="10A4F3B1">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14、响应保证金</w:t>
      </w:r>
    </w:p>
    <w:p w14:paraId="14B14437">
      <w:pPr>
        <w:tabs>
          <w:tab w:val="left" w:pos="720"/>
        </w:tabs>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本项目无须递交响应保证金</w:t>
      </w:r>
    </w:p>
    <w:p w14:paraId="7394823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15、响应有效期</w:t>
      </w:r>
    </w:p>
    <w:p w14:paraId="69D92780">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15.1响应有效期在“供应商须知前附表”中有明确的规定。供应商如未就此提出异议，则视同接受；如承诺的响应有效期短于此规定时间的，将被视为非响应性投标而予以拒绝。</w:t>
      </w:r>
    </w:p>
    <w:p w14:paraId="34662BB4">
      <w:pPr>
        <w:pStyle w:val="35"/>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15.2在特殊情况下，采购人可于原</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有效期满之前，向供应商提出延长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有效期的要求。供应商同意延长的，不得要求或被允许修改或撤销其单一来源响应文件。供应商拒绝延长的，可以书面形式拒绝采购人的这种要求。如在规定的时间内未提出书面意见表示拒绝，将视为同意延长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w:t>
      </w:r>
    </w:p>
    <w:p w14:paraId="79C7358A">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15.3在响应有效期内，供应商撤销或修改其单一来源响应文件的，应承担责任。</w:t>
      </w:r>
    </w:p>
    <w:p w14:paraId="1CD35223">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16、单一来源响应文件签署</w:t>
      </w:r>
    </w:p>
    <w:p w14:paraId="63F275E8">
      <w:pPr>
        <w:tabs>
          <w:tab w:val="left" w:pos="0"/>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除特别说明外，本文件要求供应商盖章或者法定代表人签字处，均需加盖供应商</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或其法定代表人</w:t>
      </w:r>
      <w:r>
        <w:rPr>
          <w:rFonts w:hint="eastAsia" w:asciiTheme="minorEastAsia" w:hAnsiTheme="minorEastAsia" w:eastAsiaTheme="minorEastAsia" w:cstheme="minorEastAsia"/>
          <w:color w:val="auto"/>
          <w:sz w:val="24"/>
          <w:highlight w:val="none"/>
          <w:lang w:val="en-US" w:eastAsia="zh-CN"/>
        </w:rPr>
        <w:t>签字</w:t>
      </w:r>
      <w:r>
        <w:rPr>
          <w:rFonts w:hint="eastAsia" w:asciiTheme="minorEastAsia" w:hAnsiTheme="minorEastAsia" w:eastAsiaTheme="minorEastAsia" w:cstheme="minorEastAsia"/>
          <w:color w:val="auto"/>
          <w:sz w:val="24"/>
          <w:highlight w:val="none"/>
        </w:rPr>
        <w:t>。被授权人签字的，还需附法定代表人授权委托书。</w:t>
      </w:r>
    </w:p>
    <w:p w14:paraId="426D71EE">
      <w:pPr>
        <w:pStyle w:val="3"/>
        <w:spacing w:before="120" w:beforeLines="50" w:after="120" w:afterLines="50" w:line="480" w:lineRule="exact"/>
        <w:jc w:val="center"/>
        <w:rPr>
          <w:rFonts w:ascii="宋体" w:hAnsi="宋体" w:eastAsia="宋体" w:cs="宋体"/>
          <w:color w:val="auto"/>
          <w:sz w:val="24"/>
          <w:szCs w:val="24"/>
          <w:highlight w:val="none"/>
        </w:rPr>
      </w:pPr>
      <w:bookmarkStart w:id="24" w:name="_Toc18671559"/>
      <w:bookmarkStart w:id="25" w:name="_Toc26999"/>
      <w:bookmarkStart w:id="26" w:name="_Toc7366"/>
      <w:r>
        <w:rPr>
          <w:rFonts w:hint="eastAsia" w:ascii="宋体" w:hAnsi="宋体" w:eastAsia="宋体" w:cs="宋体"/>
          <w:color w:val="auto"/>
          <w:sz w:val="24"/>
          <w:szCs w:val="24"/>
          <w:highlight w:val="none"/>
        </w:rPr>
        <w:t>四、单一来源响应文件的递交</w:t>
      </w:r>
      <w:bookmarkEnd w:id="24"/>
      <w:bookmarkEnd w:id="25"/>
      <w:bookmarkEnd w:id="26"/>
    </w:p>
    <w:p w14:paraId="5A46B418">
      <w:pPr>
        <w:spacing w:line="48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17、单一来源响应文件的提交</w:t>
      </w:r>
    </w:p>
    <w:p w14:paraId="5D14B3EB">
      <w:pPr>
        <w:pStyle w:val="35"/>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本项目为纸质投标，在</w:t>
      </w:r>
      <w:r>
        <w:rPr>
          <w:rFonts w:hint="eastAsia" w:asciiTheme="minorEastAsia" w:hAnsiTheme="minorEastAsia" w:eastAsiaTheme="minorEastAsia" w:cstheme="minorEastAsia"/>
          <w:color w:val="auto"/>
          <w:sz w:val="24"/>
          <w:szCs w:val="24"/>
          <w:highlight w:val="none"/>
          <w:lang w:val="en-US" w:eastAsia="zh-CN"/>
        </w:rPr>
        <w:t>响应文件递交</w:t>
      </w:r>
      <w:r>
        <w:rPr>
          <w:rFonts w:hint="eastAsia" w:asciiTheme="minorEastAsia" w:hAnsiTheme="minorEastAsia" w:eastAsiaTheme="minorEastAsia" w:cstheme="minorEastAsia"/>
          <w:color w:val="auto"/>
          <w:sz w:val="24"/>
          <w:szCs w:val="24"/>
          <w:highlight w:val="none"/>
        </w:rPr>
        <w:t>截止时间前现场递交</w:t>
      </w:r>
      <w:r>
        <w:rPr>
          <w:rFonts w:hint="eastAsia" w:asciiTheme="minorEastAsia" w:hAnsiTheme="minorEastAsia" w:eastAsiaTheme="minorEastAsia" w:cstheme="minorEastAsia"/>
          <w:color w:val="auto"/>
          <w:sz w:val="24"/>
          <w:szCs w:val="24"/>
          <w:highlight w:val="none"/>
          <w:lang w:eastAsia="zh-CN"/>
        </w:rPr>
        <w:t>。</w:t>
      </w:r>
    </w:p>
    <w:p w14:paraId="63BAFA3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18、单一来源响应文件的修改和撤回</w:t>
      </w:r>
    </w:p>
    <w:p w14:paraId="6833B439">
      <w:pPr>
        <w:pStyle w:val="35"/>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在供应商须知前附表规定的响应文件提交截止时间前，供应商可以修改或撤回已递交的单一来源响应文件。</w:t>
      </w:r>
    </w:p>
    <w:p w14:paraId="531B6A99">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19、联合体参加单一来源协商</w:t>
      </w:r>
    </w:p>
    <w:p w14:paraId="5BE404C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由两家或两家以上供应商组成的联合体参与协商时，应满足以下要求：</w:t>
      </w:r>
    </w:p>
    <w:p w14:paraId="47954EB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参加联合体的供应商均应当具备政府采购法第二十二条规定的条件，如本项目还有其他特定条件的，联合体各方中至少有一方符合特定的条件。联合体中有同类资质的供应商按照联合体分工承担相同工作的，应当按照资质等级较低的供应商确定资质等级。</w:t>
      </w:r>
    </w:p>
    <w:p w14:paraId="39B7DFAB">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19.2联合体应签订联合参与协商的协议，明确各方承担的职责和相应的责任，并授权其中的一个成员作为代表，具体进行协商、签订合同等事务。此协议或授权书应作为单一来源响应文件的一部分。</w:t>
      </w:r>
    </w:p>
    <w:p w14:paraId="5F23546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19.3联合体中牵头方应能全权处理协商过程中的有关问题。一旦成为成交供应商，该被授权供应商应负责签订合同并负责合同的全面实施，包括合同款项的收付。</w:t>
      </w:r>
    </w:p>
    <w:p w14:paraId="24B96FE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19.4以联合体形式参加采购活动的，联合体各方不得再单独参加或者与其他供应商另外组成联合体参加同一合同项下的采购活动。</w:t>
      </w:r>
    </w:p>
    <w:p w14:paraId="7C91706C">
      <w:pPr>
        <w:pStyle w:val="3"/>
        <w:spacing w:before="120" w:beforeLines="50" w:after="120" w:afterLines="50" w:line="480" w:lineRule="exact"/>
        <w:jc w:val="center"/>
        <w:rPr>
          <w:rFonts w:ascii="宋体" w:hAnsi="宋体" w:eastAsia="宋体" w:cs="宋体"/>
          <w:color w:val="auto"/>
          <w:sz w:val="24"/>
          <w:szCs w:val="24"/>
          <w:highlight w:val="none"/>
        </w:rPr>
      </w:pPr>
      <w:bookmarkStart w:id="27" w:name="_Toc20301"/>
      <w:bookmarkStart w:id="28" w:name="_Toc18671560"/>
      <w:bookmarkStart w:id="29" w:name="_Toc1244"/>
      <w:r>
        <w:rPr>
          <w:rFonts w:hint="eastAsia" w:ascii="宋体" w:hAnsi="宋体" w:eastAsia="宋体" w:cs="宋体"/>
          <w:color w:val="auto"/>
          <w:sz w:val="24"/>
          <w:szCs w:val="24"/>
          <w:highlight w:val="none"/>
        </w:rPr>
        <w:t>五、协商与评审</w:t>
      </w:r>
      <w:bookmarkEnd w:id="27"/>
      <w:bookmarkEnd w:id="28"/>
      <w:bookmarkEnd w:id="29"/>
    </w:p>
    <w:p w14:paraId="239BF74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20、协商</w:t>
      </w:r>
    </w:p>
    <w:p w14:paraId="22D9962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20.1采购人将在规定的时间组织协商。供应商的法定代表人或其委托的代理人应在</w:t>
      </w:r>
      <w:r>
        <w:rPr>
          <w:rFonts w:hint="eastAsia" w:asciiTheme="minorEastAsia" w:hAnsiTheme="minorEastAsia" w:eastAsiaTheme="minorEastAsia" w:cstheme="minorEastAsia"/>
          <w:color w:val="auto"/>
          <w:sz w:val="24"/>
          <w:highlight w:val="none"/>
          <w:lang w:val="en-US" w:eastAsia="zh-CN"/>
        </w:rPr>
        <w:t>现场</w:t>
      </w:r>
      <w:r>
        <w:rPr>
          <w:rFonts w:hint="eastAsia" w:asciiTheme="minorEastAsia" w:hAnsiTheme="minorEastAsia" w:eastAsiaTheme="minorEastAsia" w:cstheme="minorEastAsia"/>
          <w:color w:val="auto"/>
          <w:sz w:val="24"/>
          <w:highlight w:val="none"/>
        </w:rPr>
        <w:t>准时参加。</w:t>
      </w:r>
    </w:p>
    <w:p w14:paraId="0CBF5D61">
      <w:pPr>
        <w:tabs>
          <w:tab w:val="left" w:pos="90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20.2采购人将按规定组织相关人员组成协商小组。</w:t>
      </w:r>
    </w:p>
    <w:p w14:paraId="51B8AB35">
      <w:pPr>
        <w:tabs>
          <w:tab w:val="left" w:pos="36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20.3协商小组将首先对单一来源响应文件进行符合性评审，了解其与采购文件要求是否有偏离。</w:t>
      </w:r>
    </w:p>
    <w:p w14:paraId="73A3FE52">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20.4符合性评审结束后，协商小组将要求供应商就单一来源响应文件中含糊不清、错漏的地方或协商小组提出的其他内容进行澄清，然后与供应商就采购需求进行协商并要求供应商就之前提出的问题和技术内容进行书面确认。</w:t>
      </w:r>
      <w:r>
        <w:rPr>
          <w:rFonts w:hint="eastAsia" w:asciiTheme="minorEastAsia" w:hAnsiTheme="minorEastAsia" w:eastAsiaTheme="minorEastAsia" w:cstheme="minorEastAsia"/>
          <w:b/>
          <w:color w:val="auto"/>
          <w:sz w:val="24"/>
          <w:highlight w:val="none"/>
        </w:rPr>
        <w:t>供应商未通过符合性评审的，不进入后续程序。</w:t>
      </w:r>
    </w:p>
    <w:p w14:paraId="17324077">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20.5符合性评审通过后，协商小组与供应商进行价格协商，并确定最终合同价格。</w:t>
      </w:r>
    </w:p>
    <w:p w14:paraId="0974EA06">
      <w:pPr>
        <w:spacing w:line="48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供应商每次报价都应当在协商小组发出报价要求后半小时内完成报价事宜。</w:t>
      </w:r>
    </w:p>
    <w:p w14:paraId="3182970A">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供应商必须在规定的时间内将自己在协商中作出的澄清、变动以及最终的报价，经供应商</w:t>
      </w:r>
      <w:r>
        <w:rPr>
          <w:rFonts w:hint="eastAsia" w:asciiTheme="minorEastAsia" w:hAnsiTheme="minorEastAsia" w:eastAsiaTheme="minorEastAsia" w:cstheme="minorEastAsia"/>
          <w:bCs/>
          <w:color w:val="auto"/>
          <w:sz w:val="24"/>
          <w:highlight w:val="none"/>
          <w:lang w:val="en-US" w:eastAsia="zh-CN"/>
        </w:rPr>
        <w:t>填写</w:t>
      </w:r>
      <w:r>
        <w:rPr>
          <w:rFonts w:hint="eastAsia" w:asciiTheme="minorEastAsia" w:hAnsiTheme="minorEastAsia" w:eastAsiaTheme="minorEastAsia" w:cstheme="minorEastAsia"/>
          <w:bCs/>
          <w:color w:val="auto"/>
          <w:sz w:val="24"/>
          <w:highlight w:val="none"/>
        </w:rPr>
        <w:t>后，以</w:t>
      </w:r>
      <w:r>
        <w:rPr>
          <w:rFonts w:hint="eastAsia" w:asciiTheme="minorEastAsia" w:hAnsiTheme="minorEastAsia" w:eastAsiaTheme="minorEastAsia" w:cstheme="minorEastAsia"/>
          <w:bCs/>
          <w:color w:val="auto"/>
          <w:sz w:val="24"/>
          <w:highlight w:val="none"/>
          <w:lang w:val="en-US" w:eastAsia="zh-CN"/>
        </w:rPr>
        <w:t>纸质</w:t>
      </w:r>
      <w:r>
        <w:rPr>
          <w:rFonts w:hint="eastAsia" w:asciiTheme="minorEastAsia" w:hAnsiTheme="minorEastAsia" w:eastAsiaTheme="minorEastAsia" w:cstheme="minorEastAsia"/>
          <w:bCs/>
          <w:color w:val="auto"/>
          <w:sz w:val="24"/>
          <w:highlight w:val="none"/>
        </w:rPr>
        <w:t>的方式提交给协商小组。</w:t>
      </w:r>
    </w:p>
    <w:p w14:paraId="7C3A5889">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21、评审</w:t>
      </w:r>
    </w:p>
    <w:p w14:paraId="061CE65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21.1协商小组将依据供应商最终提交的确认件进行评审，并编写协商报告。</w:t>
      </w:r>
    </w:p>
    <w:p w14:paraId="717E27A7">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21.2采购人确认成交供应商后，应将结果在指定的网站公告。</w:t>
      </w:r>
    </w:p>
    <w:p w14:paraId="6FADB347">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22、异常情况处理</w:t>
      </w:r>
    </w:p>
    <w:p w14:paraId="4DB3F282">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出现下列情形之一的，采购人或者采购代理机构应当终止采购活动，发布项目终止公告并说明原因，重新开展采购活动：</w:t>
      </w:r>
    </w:p>
    <w:p w14:paraId="49BDCBD5">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（一）因情况变化，不再符合规定的单一来源采购方式适用情形的；</w:t>
      </w:r>
    </w:p>
    <w:p w14:paraId="4FF8EDA8">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（二）出现影响采购公正的违法、违规行为的；</w:t>
      </w:r>
    </w:p>
    <w:p w14:paraId="526A68FF">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（三）报价超过采购预算的；</w:t>
      </w:r>
    </w:p>
    <w:p w14:paraId="37C680F1">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（四）因重大事故，采购任务取消的。</w:t>
      </w:r>
    </w:p>
    <w:p w14:paraId="4980FBD0">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23、供应商存在下列情况之一的，响应无效：</w:t>
      </w:r>
    </w:p>
    <w:p w14:paraId="2400B9A3">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（一）响应文件未按采购文件要求签署、盖章的；</w:t>
      </w:r>
    </w:p>
    <w:p w14:paraId="0FA38E94">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（二）报价超过采购文件中规定的金额或者最高限价的，采购人可以支付的除外；</w:t>
      </w:r>
    </w:p>
    <w:p w14:paraId="4D396149">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（三）响应文件含有采购人不能接受的附加条件的；</w:t>
      </w:r>
    </w:p>
    <w:p w14:paraId="1A757B55">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（四）法律、法规和采购文件规定的其他无效情形的；</w:t>
      </w:r>
    </w:p>
    <w:p w14:paraId="31528204">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（五）提供虚假材料参加单一来源活动的违法、违规行为被查实的。</w:t>
      </w:r>
    </w:p>
    <w:p w14:paraId="39F0B4BD">
      <w:pPr>
        <w:pStyle w:val="3"/>
        <w:spacing w:before="120" w:beforeLines="50" w:after="120" w:afterLines="50" w:line="480" w:lineRule="exact"/>
        <w:jc w:val="center"/>
        <w:rPr>
          <w:rFonts w:ascii="宋体" w:hAnsi="宋体" w:eastAsia="宋体" w:cs="宋体"/>
          <w:color w:val="auto"/>
          <w:sz w:val="24"/>
          <w:szCs w:val="24"/>
          <w:highlight w:val="none"/>
        </w:rPr>
      </w:pPr>
      <w:bookmarkStart w:id="30" w:name="_Toc18671561"/>
      <w:bookmarkStart w:id="31" w:name="_Toc4538"/>
      <w:bookmarkStart w:id="32" w:name="_Toc11316"/>
      <w:r>
        <w:rPr>
          <w:rFonts w:hint="eastAsia" w:ascii="宋体" w:hAnsi="宋体" w:eastAsia="宋体" w:cs="宋体"/>
          <w:color w:val="auto"/>
          <w:sz w:val="24"/>
          <w:szCs w:val="24"/>
          <w:highlight w:val="none"/>
        </w:rPr>
        <w:t>六、成交和授予合同</w:t>
      </w:r>
      <w:bookmarkEnd w:id="30"/>
      <w:bookmarkEnd w:id="31"/>
      <w:bookmarkEnd w:id="32"/>
    </w:p>
    <w:p w14:paraId="73E7CE7A">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24、成交确认</w:t>
      </w:r>
    </w:p>
    <w:p w14:paraId="4FEBA8F9">
      <w:pPr>
        <w:tabs>
          <w:tab w:val="left" w:pos="0"/>
        </w:tabs>
        <w:spacing w:line="480" w:lineRule="exact"/>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采购人应当在收到协商报告后5个工作日内，确定成交供应商。</w:t>
      </w:r>
    </w:p>
    <w:p w14:paraId="3EA1F90B">
      <w:pPr>
        <w:tabs>
          <w:tab w:val="left" w:pos="0"/>
        </w:tabs>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25、签订合同</w:t>
      </w:r>
    </w:p>
    <w:p w14:paraId="304F4F51">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shd w:val="clear" w:color="auto" w:fill="FFFFFF"/>
        </w:rPr>
        <w:t>25</w:t>
      </w:r>
      <w:r>
        <w:rPr>
          <w:rFonts w:hint="eastAsia" w:asciiTheme="minorEastAsia" w:hAnsiTheme="minorEastAsia" w:eastAsiaTheme="minorEastAsia" w:cstheme="minorEastAsia"/>
          <w:color w:val="auto"/>
          <w:sz w:val="24"/>
          <w:highlight w:val="none"/>
        </w:rPr>
        <w:t>.1采购</w:t>
      </w:r>
      <w:r>
        <w:rPr>
          <w:rFonts w:hint="eastAsia" w:asciiTheme="minorEastAsia" w:hAnsiTheme="minorEastAsia" w:eastAsiaTheme="minorEastAsia" w:cstheme="minorEastAsia"/>
          <w:color w:val="auto"/>
          <w:sz w:val="24"/>
          <w:highlight w:val="none"/>
          <w:shd w:val="clear" w:color="auto" w:fill="FFFFFF"/>
        </w:rPr>
        <w:t>人应尽量缩短采购合同签订时间，按照采购文件确定的合同文本以及采购标的、规格型号、采购金额、采购数量、技术和服务要求等事项签订采购合同，不得晚于中标（成交）通知书发放之日起 7 个工作日。无正当理由不得拒绝或者拖延签订合同，因供应商自身原因导致无法及时签订的除外。</w:t>
      </w:r>
    </w:p>
    <w:p w14:paraId="12A3D037">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25.2政府采购合同在履行中可追加与合同标的相同的服务，但采购金额不得超过原合同采购金额的10%。</w:t>
      </w:r>
    </w:p>
    <w:p w14:paraId="7DFC35B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25.3成交供应商拒绝与采购人签订合同的，将按相关规定进行处理。成交通知书发出后，采购人无正当理由不与成交供应商签订采购合同的，将依据相关规定给予处理。</w:t>
      </w:r>
    </w:p>
    <w:p w14:paraId="18A88CF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25.4因政策变化等原因不能签订合同，造成企业合法利益受损的情形，采购人可以与供应商充分协商，给予合理补偿。</w:t>
      </w:r>
    </w:p>
    <w:p w14:paraId="3B625E8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25.5在签订合同时，供应商书面明确表示无需预付款或者主动要求降低预付款比例的，采购人可不适用前述（即付款方式）规定。</w:t>
      </w:r>
    </w:p>
    <w:p w14:paraId="5D2381B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25.6采购文件和合同中没有约定预付款的，经供应商申请，采购人可以支付预付款。</w:t>
      </w:r>
    </w:p>
    <w:p w14:paraId="2804A13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25.7采购人可根据项目特点、供应商诚信等因素，要求供应商提交银行、保险公司、担保公司等金融机构出具的预付款保函或其他担保措施。</w:t>
      </w:r>
    </w:p>
    <w:p w14:paraId="2E4905E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25.8政府采购预付款应在合同、担保措施生效以及具备实施条件后 5 个工作日内支付。</w:t>
      </w:r>
    </w:p>
    <w:p w14:paraId="4F52624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25.9延迟支付中小企业款项的，供应商可要求采购人按照合同约定支付逾期利息，合同没有约定的，按照同期人民银行 LPR支付逾期利息。</w:t>
      </w:r>
    </w:p>
    <w:p w14:paraId="1A5AC5A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25.10 成交供应商无正当理由不与采购人订立合同的处罚依据：</w:t>
      </w:r>
    </w:p>
    <w:p w14:paraId="445934D5">
      <w:pPr>
        <w:pStyle w:val="15"/>
        <w:spacing w:after="0" w:line="480" w:lineRule="exact"/>
        <w:ind w:firstLine="0"/>
        <w:rPr>
          <w:color w:val="auto"/>
          <w:highlight w:val="none"/>
        </w:rPr>
      </w:pPr>
      <w:r>
        <w:rPr>
          <w:rFonts w:hint="eastAsia"/>
          <w:color w:val="auto"/>
          <w:highlight w:val="none"/>
        </w:rPr>
        <w:t>（1）《中华人民共和国政府采购法实施条例》</w:t>
      </w:r>
    </w:p>
    <w:p w14:paraId="128BBFA3">
      <w:pPr>
        <w:pStyle w:val="15"/>
        <w:spacing w:after="0" w:line="480" w:lineRule="exact"/>
        <w:ind w:firstLine="0"/>
        <w:rPr>
          <w:color w:val="auto"/>
          <w:highlight w:val="none"/>
        </w:rPr>
      </w:pPr>
      <w:r>
        <w:rPr>
          <w:rFonts w:hint="eastAsia"/>
          <w:color w:val="auto"/>
          <w:highlight w:val="none"/>
        </w:rPr>
        <w:t>第七十二条 供应商有下列情形之一的，依照政府采购法第七十七条第一款的规定追究法律责任：……</w:t>
      </w:r>
    </w:p>
    <w:p w14:paraId="7D14500C">
      <w:pPr>
        <w:pStyle w:val="15"/>
        <w:spacing w:after="0" w:line="480" w:lineRule="exact"/>
        <w:ind w:firstLine="0"/>
        <w:rPr>
          <w:color w:val="auto"/>
          <w:highlight w:val="none"/>
        </w:rPr>
      </w:pPr>
      <w:r>
        <w:rPr>
          <w:rFonts w:hint="eastAsia"/>
          <w:color w:val="auto"/>
          <w:highlight w:val="none"/>
        </w:rPr>
        <w:t>（二）中标或者成交后无正当理由拒不与采购人签订政府采购合同；……</w:t>
      </w:r>
    </w:p>
    <w:p w14:paraId="2BE8E449">
      <w:pPr>
        <w:pStyle w:val="15"/>
        <w:spacing w:after="0" w:line="480" w:lineRule="exact"/>
        <w:ind w:firstLine="0"/>
        <w:rPr>
          <w:color w:val="auto"/>
          <w:highlight w:val="none"/>
        </w:rPr>
      </w:pPr>
      <w:r>
        <w:rPr>
          <w:rFonts w:hint="eastAsia"/>
          <w:color w:val="auto"/>
          <w:highlight w:val="none"/>
        </w:rPr>
        <w:t>（2）《中华人民共和国政府采购法》</w:t>
      </w:r>
    </w:p>
    <w:p w14:paraId="01122CE4">
      <w:pPr>
        <w:pStyle w:val="15"/>
        <w:spacing w:after="0" w:line="480" w:lineRule="exact"/>
        <w:ind w:firstLine="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5B2876D">
      <w:pPr>
        <w:pStyle w:val="15"/>
        <w:spacing w:after="0" w:line="480" w:lineRule="exact"/>
        <w:ind w:firstLine="0"/>
        <w:rPr>
          <w:color w:val="auto"/>
          <w:highlight w:val="none"/>
        </w:rPr>
      </w:pPr>
      <w:r>
        <w:rPr>
          <w:rFonts w:hint="eastAsia"/>
          <w:color w:val="auto"/>
          <w:highlight w:val="none"/>
        </w:rPr>
        <w:t>（3）《政府采购非招标采购方式管理办法》（财政部令第74号）</w:t>
      </w:r>
    </w:p>
    <w:p w14:paraId="28A48336">
      <w:pPr>
        <w:pStyle w:val="15"/>
        <w:spacing w:after="0" w:line="480" w:lineRule="exact"/>
        <w:ind w:firstLine="120" w:firstLineChars="5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1EBAF858">
      <w:pPr>
        <w:pStyle w:val="15"/>
        <w:spacing w:after="0" w:line="480" w:lineRule="exact"/>
        <w:ind w:firstLine="0"/>
        <w:rPr>
          <w:rFonts w:asciiTheme="minorEastAsia" w:hAnsiTheme="minorEastAsia" w:eastAsiaTheme="minorEastAsia" w:cstheme="minorEastAsia"/>
          <w:color w:val="auto"/>
          <w:highlight w:val="none"/>
        </w:rPr>
      </w:pPr>
      <w:r>
        <w:rPr>
          <w:rFonts w:hint="eastAsia"/>
          <w:color w:val="auto"/>
          <w:highlight w:val="none"/>
        </w:rPr>
        <w:t>（二）成交后无正当理由不与采购人签订合同的；……</w:t>
      </w:r>
    </w:p>
    <w:p w14:paraId="7392E441">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26、履约保证金</w:t>
      </w:r>
    </w:p>
    <w:p w14:paraId="04A5A9EA">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26.1成交供应商在签订合同前必须按单一来源文件的规定，及时、足额交纳履约保证金。</w:t>
      </w:r>
    </w:p>
    <w:p w14:paraId="7C47A6F7">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履约保证金是督促成交供应商按时、按质、按量履行合同的一个经济制约手段。当采购人因成交供应商违约而造成损失时，可在无须征得成交供应商同意的情况下首先从其所交纳的履约保证金中获取相应的补偿。</w:t>
      </w:r>
    </w:p>
    <w:bookmarkEnd w:id="16"/>
    <w:bookmarkEnd w:id="17"/>
    <w:p w14:paraId="15CC37AC">
      <w:pPr>
        <w:spacing w:line="480" w:lineRule="exact"/>
        <w:rPr>
          <w:rFonts w:asciiTheme="minorEastAsia" w:hAnsiTheme="minorEastAsia" w:eastAsiaTheme="minorEastAsia" w:cstheme="minorEastAsia"/>
          <w:b/>
          <w:color w:val="auto"/>
          <w:sz w:val="24"/>
          <w:highlight w:val="none"/>
        </w:rPr>
      </w:pPr>
      <w:bookmarkStart w:id="33" w:name="_Toc27142"/>
      <w:bookmarkStart w:id="34" w:name="_Toc14936"/>
      <w:bookmarkStart w:id="35" w:name="_Toc533314955"/>
      <w:bookmarkStart w:id="36" w:name="_Toc272163837"/>
      <w:r>
        <w:rPr>
          <w:rFonts w:hint="eastAsia" w:asciiTheme="minorEastAsia" w:hAnsiTheme="minorEastAsia" w:eastAsiaTheme="minorEastAsia" w:cstheme="minorEastAsia"/>
          <w:b/>
          <w:color w:val="auto"/>
          <w:sz w:val="24"/>
          <w:highlight w:val="none"/>
        </w:rPr>
        <w:t>27、验收</w:t>
      </w:r>
      <w:bookmarkEnd w:id="33"/>
      <w:bookmarkEnd w:id="34"/>
      <w:r>
        <w:rPr>
          <w:rFonts w:hint="eastAsia" w:asciiTheme="minorEastAsia" w:hAnsiTheme="minorEastAsia" w:eastAsiaTheme="minorEastAsia" w:cstheme="minorEastAsia"/>
          <w:b/>
          <w:color w:val="auto"/>
          <w:sz w:val="24"/>
          <w:highlight w:val="none"/>
        </w:rPr>
        <w:t>与支付</w:t>
      </w:r>
    </w:p>
    <w:p w14:paraId="11C993FB">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27.1采购人应当在项目完成且收到供应商验收申请后 5 个工作日内组织开展履约验收。</w:t>
      </w:r>
    </w:p>
    <w:p w14:paraId="4B99CEE4">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0BB0AF76">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27.3涉及安全、消防、环保等其他需要由质检或行业主管部门进行验收的项目，必须邀请相关部门或相关专家参与验收。</w:t>
      </w:r>
    </w:p>
    <w:p w14:paraId="3F5EA867">
      <w:pPr>
        <w:tabs>
          <w:tab w:val="left" w:pos="0"/>
        </w:tabs>
        <w:spacing w:line="480" w:lineRule="exact"/>
        <w:rPr>
          <w:rFonts w:hint="eastAsia"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highlight w:val="none"/>
        </w:rPr>
        <w:t>27.4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bookmarkStart w:id="37" w:name="_Toc220232392"/>
      <w:bookmarkStart w:id="38" w:name="_Toc29961"/>
      <w:bookmarkStart w:id="39" w:name="_Toc463733011"/>
    </w:p>
    <w:p w14:paraId="3894CB3F">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741801DC">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16DE2745">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6BE9A2C4">
      <w:pPr>
        <w:pStyle w:val="2"/>
        <w:spacing w:before="120" w:beforeLines="50" w:after="120" w:afterLines="50" w:line="560" w:lineRule="exact"/>
        <w:ind w:left="0" w:leftChars="0" w:firstLine="0" w:firstLineChars="0"/>
        <w:jc w:val="center"/>
        <w:rPr>
          <w:rFonts w:hint="eastAsia" w:ascii="宋体" w:hAnsi="宋体" w:eastAsia="宋体" w:cs="宋体"/>
          <w:b/>
          <w:color w:val="auto"/>
          <w:sz w:val="24"/>
          <w:szCs w:val="24"/>
          <w:highlight w:val="none"/>
        </w:rPr>
      </w:pPr>
    </w:p>
    <w:p w14:paraId="694867DF">
      <w:pPr>
        <w:pStyle w:val="2"/>
        <w:spacing w:before="120" w:beforeLines="50" w:after="120" w:afterLines="50" w:line="560" w:lineRule="exact"/>
        <w:ind w:left="0" w:leftChars="0" w:firstLine="0" w:firstLineChars="0"/>
        <w:jc w:val="center"/>
        <w:rPr>
          <w:rFonts w:ascii="宋体" w:hAnsi="宋体" w:eastAsia="宋体" w:cs="宋体"/>
          <w:b/>
          <w:color w:val="auto"/>
          <w:sz w:val="24"/>
          <w:szCs w:val="24"/>
          <w:highlight w:val="none"/>
        </w:rPr>
      </w:pPr>
      <w:bookmarkStart w:id="40" w:name="_Toc3156"/>
      <w:r>
        <w:rPr>
          <w:rFonts w:hint="eastAsia" w:ascii="宋体" w:hAnsi="宋体" w:eastAsia="宋体" w:cs="宋体"/>
          <w:b/>
          <w:color w:val="auto"/>
          <w:sz w:val="24"/>
          <w:szCs w:val="24"/>
          <w:highlight w:val="none"/>
        </w:rPr>
        <w:t>第四章  采购合同</w:t>
      </w:r>
      <w:bookmarkEnd w:id="37"/>
      <w:bookmarkEnd w:id="38"/>
      <w:bookmarkEnd w:id="39"/>
      <w:bookmarkEnd w:id="40"/>
    </w:p>
    <w:p w14:paraId="7D5497A1">
      <w:pPr>
        <w:spacing w:before="78" w:line="220" w:lineRule="auto"/>
        <w:jc w:val="center"/>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甲乙双方自行拟定</w:t>
      </w:r>
      <w:r>
        <w:rPr>
          <w:rFonts w:hint="eastAsia" w:ascii="宋体" w:hAnsi="宋体" w:eastAsia="宋体" w:cs="宋体"/>
          <w:color w:val="auto"/>
          <w:spacing w:val="-6"/>
          <w:sz w:val="24"/>
          <w:highlight w:val="none"/>
          <w:lang w:eastAsia="zh-CN"/>
        </w:rPr>
        <w:t>）</w:t>
      </w:r>
    </w:p>
    <w:p w14:paraId="68E01BFC">
      <w:pPr>
        <w:spacing w:line="253" w:lineRule="auto"/>
        <w:rPr>
          <w:color w:val="auto"/>
          <w:highlight w:val="none"/>
        </w:rPr>
      </w:pPr>
    </w:p>
    <w:p w14:paraId="54DC687F">
      <w:pPr>
        <w:spacing w:line="254" w:lineRule="auto"/>
        <w:rPr>
          <w:color w:val="auto"/>
          <w:highlight w:val="none"/>
        </w:rPr>
      </w:pPr>
    </w:p>
    <w:p w14:paraId="7B85AEDE">
      <w:pPr>
        <w:spacing w:line="254" w:lineRule="auto"/>
        <w:rPr>
          <w:color w:val="auto"/>
          <w:highlight w:val="none"/>
        </w:rPr>
      </w:pPr>
    </w:p>
    <w:p w14:paraId="4EE777CC">
      <w:pPr>
        <w:spacing w:before="79" w:line="220" w:lineRule="auto"/>
        <w:ind w:left="998"/>
        <w:rPr>
          <w:rFonts w:ascii="宋体" w:hAnsi="宋体" w:cs="宋体"/>
          <w:color w:val="auto"/>
          <w:sz w:val="24"/>
          <w:highlight w:val="none"/>
        </w:rPr>
      </w:pPr>
    </w:p>
    <w:p w14:paraId="7A28A4DA">
      <w:pPr>
        <w:rPr>
          <w:color w:val="auto"/>
          <w:highlight w:val="none"/>
        </w:rPr>
        <w:sectPr>
          <w:footerReference r:id="rId5" w:type="default"/>
          <w:pgSz w:w="11907" w:h="16839"/>
          <w:pgMar w:top="1118" w:right="1769" w:bottom="1233" w:left="1771" w:header="877" w:footer="982" w:gutter="0"/>
          <w:pgNumType w:fmt="decimal" w:start="1"/>
          <w:cols w:space="720" w:num="1"/>
        </w:sectPr>
      </w:pPr>
    </w:p>
    <w:p w14:paraId="515DF485">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rPr>
          <w:rFonts w:ascii="宋体" w:hAnsi="宋体" w:cs="宋体"/>
          <w:b/>
          <w:bCs/>
          <w:color w:val="auto"/>
          <w:kern w:val="0"/>
          <w:sz w:val="24"/>
          <w:highlight w:val="none"/>
        </w:rPr>
      </w:pPr>
      <w:bookmarkStart w:id="41" w:name="_Toc19119"/>
      <w:r>
        <w:rPr>
          <w:rStyle w:val="39"/>
          <w:rFonts w:hint="eastAsia" w:ascii="宋体" w:hAnsi="宋体" w:eastAsia="宋体" w:cs="宋体"/>
          <w:color w:val="auto"/>
          <w:sz w:val="24"/>
          <w:szCs w:val="24"/>
          <w:highlight w:val="none"/>
        </w:rPr>
        <w:t>第五章</w:t>
      </w:r>
      <w:r>
        <w:rPr>
          <w:rStyle w:val="39"/>
          <w:rFonts w:hint="eastAsia" w:ascii="宋体" w:hAnsi="宋体" w:cs="宋体"/>
          <w:color w:val="auto"/>
          <w:sz w:val="24"/>
          <w:szCs w:val="24"/>
          <w:highlight w:val="none"/>
        </w:rPr>
        <w:t xml:space="preserve">  </w:t>
      </w:r>
      <w:r>
        <w:rPr>
          <w:rStyle w:val="39"/>
          <w:rFonts w:hint="eastAsia" w:ascii="宋体" w:hAnsi="宋体" w:eastAsia="宋体" w:cs="宋体"/>
          <w:color w:val="auto"/>
          <w:sz w:val="24"/>
          <w:szCs w:val="24"/>
          <w:highlight w:val="none"/>
        </w:rPr>
        <w:t>采购需求</w:t>
      </w:r>
      <w:bookmarkEnd w:id="41"/>
    </w:p>
    <w:p w14:paraId="0A1A6AB4">
      <w:pPr>
        <w:pStyle w:val="2"/>
        <w:numPr>
          <w:ilvl w:val="0"/>
          <w:numId w:val="0"/>
        </w:numPr>
        <w:bidi w:val="0"/>
        <w:ind w:leftChars="0"/>
        <w:jc w:val="center"/>
        <w:rPr>
          <w:rFonts w:hint="eastAsia"/>
          <w:b/>
          <w:bCs/>
          <w:sz w:val="32"/>
          <w:szCs w:val="20"/>
          <w:highlight w:val="none"/>
          <w:lang w:eastAsia="zh-CN"/>
        </w:rPr>
      </w:pPr>
      <w:bookmarkStart w:id="42" w:name="_Toc4057"/>
      <w:bookmarkStart w:id="43" w:name="_Toc18671563"/>
      <w:r>
        <w:rPr>
          <w:rFonts w:hint="eastAsia"/>
          <w:b/>
          <w:bCs/>
          <w:sz w:val="32"/>
          <w:szCs w:val="20"/>
          <w:highlight w:val="none"/>
          <w:lang w:eastAsia="zh-CN"/>
        </w:rPr>
        <w:t>血液透析管理系统参数</w:t>
      </w:r>
      <w:bookmarkEnd w:id="42"/>
    </w:p>
    <w:tbl>
      <w:tblPr>
        <w:tblStyle w:val="16"/>
        <w:tblW w:w="8505" w:type="dxa"/>
        <w:tblInd w:w="0" w:type="dxa"/>
        <w:tblLayout w:type="autofit"/>
        <w:tblCellMar>
          <w:top w:w="0" w:type="dxa"/>
          <w:left w:w="108" w:type="dxa"/>
          <w:bottom w:w="0" w:type="dxa"/>
          <w:right w:w="108" w:type="dxa"/>
        </w:tblCellMar>
      </w:tblPr>
      <w:tblGrid>
        <w:gridCol w:w="1418"/>
        <w:gridCol w:w="7087"/>
      </w:tblGrid>
      <w:tr w14:paraId="2B725542">
        <w:tblPrEx>
          <w:tblCellMar>
            <w:top w:w="0" w:type="dxa"/>
            <w:left w:w="108" w:type="dxa"/>
            <w:bottom w:w="0" w:type="dxa"/>
            <w:right w:w="108" w:type="dxa"/>
          </w:tblCellMar>
        </w:tblPrEx>
        <w:trPr>
          <w:trHeight w:val="567"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5A5A5"/>
            <w:noWrap w:val="0"/>
            <w:vAlign w:val="center"/>
          </w:tcPr>
          <w:p w14:paraId="48AC895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b/>
                <w:bCs/>
                <w:color w:val="auto"/>
                <w:sz w:val="28"/>
                <w:szCs w:val="28"/>
                <w:highlight w:val="none"/>
              </w:rPr>
            </w:pPr>
            <w:r>
              <w:rPr>
                <w:rFonts w:hint="eastAsia" w:cs="等线"/>
                <w:b/>
                <w:bCs/>
                <w:color w:val="auto"/>
                <w:kern w:val="0"/>
                <w:sz w:val="28"/>
                <w:szCs w:val="28"/>
                <w:highlight w:val="none"/>
              </w:rPr>
              <w:t>模块</w:t>
            </w:r>
          </w:p>
        </w:tc>
        <w:tc>
          <w:tcPr>
            <w:tcW w:w="7087" w:type="dxa"/>
            <w:tcBorders>
              <w:top w:val="single" w:color="000000" w:sz="4" w:space="0"/>
              <w:left w:val="single" w:color="000000" w:sz="4" w:space="0"/>
              <w:bottom w:val="single" w:color="000000" w:sz="4" w:space="0"/>
              <w:right w:val="single" w:color="000000" w:sz="4" w:space="0"/>
            </w:tcBorders>
            <w:shd w:val="clear" w:color="auto" w:fill="A5A5A5"/>
            <w:noWrap w:val="0"/>
            <w:vAlign w:val="center"/>
          </w:tcPr>
          <w:p w14:paraId="37B3470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b/>
                <w:bCs/>
                <w:color w:val="auto"/>
                <w:sz w:val="28"/>
                <w:szCs w:val="28"/>
                <w:highlight w:val="none"/>
              </w:rPr>
            </w:pPr>
            <w:r>
              <w:rPr>
                <w:rFonts w:hint="eastAsia" w:cs="等线"/>
                <w:b/>
                <w:bCs/>
                <w:color w:val="auto"/>
                <w:kern w:val="0"/>
                <w:sz w:val="28"/>
                <w:szCs w:val="28"/>
                <w:highlight w:val="none"/>
              </w:rPr>
              <w:t>功能描述</w:t>
            </w:r>
          </w:p>
        </w:tc>
      </w:tr>
      <w:tr w14:paraId="4F1F3A34">
        <w:tblPrEx>
          <w:tblCellMar>
            <w:top w:w="0" w:type="dxa"/>
            <w:left w:w="108" w:type="dxa"/>
            <w:bottom w:w="0" w:type="dxa"/>
            <w:right w:w="108" w:type="dxa"/>
          </w:tblCellMar>
        </w:tblPrEx>
        <w:trPr>
          <w:trHeight w:val="57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4A9FDE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管理看板</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00C13BBF">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透析进程</w:t>
            </w:r>
            <w:r>
              <w:rPr>
                <w:rFonts w:hint="eastAsia" w:ascii="宋体" w:hAnsi="宋体" w:eastAsia="宋体" w:cs="宋体"/>
                <w:color w:val="auto"/>
                <w:sz w:val="21"/>
                <w:szCs w:val="21"/>
                <w:highlight w:val="none"/>
                <w:lang w:val="zh-TW" w:eastAsia="zh-CN"/>
              </w:rPr>
              <w:t>：</w:t>
            </w:r>
            <w:r>
              <w:rPr>
                <w:rFonts w:hint="eastAsia" w:ascii="宋体" w:hAnsi="宋体" w:eastAsia="宋体" w:cs="宋体"/>
                <w:color w:val="auto"/>
                <w:sz w:val="21"/>
                <w:szCs w:val="21"/>
                <w:highlight w:val="none"/>
                <w:lang w:val="zh-TW"/>
              </w:rPr>
              <w:t>整体查看，包括透前、透中、透后概况，血管通路、透析方式和特殊情况统计。支持以卡片方式展示患者透析节点和进度。支持通过院区、接诊区、日期、时段进行筛选。</w:t>
            </w:r>
          </w:p>
          <w:p w14:paraId="2A4C1081">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kern w:val="0"/>
                <w:sz w:val="22"/>
                <w:highlight w:val="none"/>
              </w:rPr>
            </w:pPr>
            <w:r>
              <w:rPr>
                <w:rFonts w:hint="eastAsia" w:cs="宋体"/>
                <w:color w:val="auto"/>
                <w:kern w:val="2"/>
                <w:sz w:val="21"/>
                <w:szCs w:val="21"/>
                <w:highlight w:val="none"/>
                <w:lang w:val="zh-TW" w:eastAsia="zh-CN" w:bidi="zh-CN"/>
              </w:rPr>
              <w:t>（2）</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质控数据整体查看，包括血管通路、透析方式、特殊情况、患者统计以及质控达标率统计。支持按年度、季度、月份为时间维度进行统计。</w:t>
            </w:r>
          </w:p>
        </w:tc>
      </w:tr>
      <w:tr w14:paraId="66EFC3B4">
        <w:tblPrEx>
          <w:tblCellMar>
            <w:top w:w="0" w:type="dxa"/>
            <w:left w:w="108" w:type="dxa"/>
            <w:bottom w:w="0" w:type="dxa"/>
            <w:right w:w="108" w:type="dxa"/>
          </w:tblCellMar>
        </w:tblPrEx>
        <w:trPr>
          <w:trHeight w:val="228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6920EC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患者管理</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75765894">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ascii="宋体" w:hAnsi="宋体" w:eastAsia="宋体" w:cs="宋体"/>
                <w:color w:val="auto"/>
                <w:sz w:val="21"/>
                <w:szCs w:val="21"/>
                <w:highlight w:val="none"/>
                <w:lang w:val="zh-TW"/>
              </w:rPr>
              <w:t>为患者建立透析档案</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包括患者的基本信息，血管通路，诊断记录，透析方案，医嘱信息等。支持患者信息导出为</w:t>
            </w:r>
            <w:r>
              <w:rPr>
                <w:rFonts w:hint="eastAsia" w:ascii="宋体" w:hAnsi="宋体" w:eastAsia="宋体" w:cs="宋体"/>
                <w:color w:val="auto"/>
                <w:sz w:val="21"/>
                <w:szCs w:val="21"/>
                <w:highlight w:val="none"/>
              </w:rPr>
              <w:t>Excel</w:t>
            </w:r>
            <w:r>
              <w:rPr>
                <w:rFonts w:hint="eastAsia" w:ascii="宋体" w:hAnsi="宋体" w:eastAsia="宋体" w:cs="宋体"/>
                <w:color w:val="auto"/>
                <w:sz w:val="21"/>
                <w:szCs w:val="21"/>
                <w:highlight w:val="none"/>
                <w:lang w:val="zh-TW"/>
              </w:rPr>
              <w:t>文件</w:t>
            </w:r>
            <w:r>
              <w:rPr>
                <w:rFonts w:hint="eastAsia" w:ascii="宋体" w:hAnsi="宋体" w:eastAsia="宋体" w:cs="宋体"/>
                <w:color w:val="auto"/>
                <w:sz w:val="21"/>
                <w:szCs w:val="21"/>
                <w:highlight w:val="none"/>
                <w:lang w:val="zh-TW" w:eastAsia="zh-CN"/>
              </w:rPr>
              <w:t>，</w:t>
            </w:r>
            <w:r>
              <w:rPr>
                <w:rFonts w:hint="eastAsia" w:ascii="宋体" w:hAnsi="宋体" w:eastAsia="宋体" w:cs="宋体"/>
                <w:color w:val="auto"/>
                <w:sz w:val="21"/>
                <w:szCs w:val="21"/>
                <w:highlight w:val="none"/>
                <w:lang w:val="zh-TW"/>
              </w:rPr>
              <w:t>可以转诊患者至其他对接的系统，并传输患者数据。支持在转诊的同时在本系统内转归患者。</w:t>
            </w:r>
          </w:p>
          <w:p w14:paraId="0325D929">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sz w:val="22"/>
                <w:highlight w:val="none"/>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zh-TW"/>
              </w:rPr>
              <w:t>对患者的电子病历进行查阅，</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按姓名或拼音首字母进行查询，</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按患者状态和治疗区域进行过滤。</w:t>
            </w:r>
          </w:p>
        </w:tc>
      </w:tr>
      <w:tr w14:paraId="2B74BBEB">
        <w:tblPrEx>
          <w:tblCellMar>
            <w:top w:w="0" w:type="dxa"/>
            <w:left w:w="108" w:type="dxa"/>
            <w:bottom w:w="0" w:type="dxa"/>
            <w:right w:w="108" w:type="dxa"/>
          </w:tblCellMar>
        </w:tblPrEx>
        <w:trPr>
          <w:trHeight w:val="57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F01F73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电子病历</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4970A2FD">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ascii="宋体" w:hAnsi="宋体" w:eastAsia="宋体" w:cs="宋体"/>
                <w:color w:val="auto"/>
                <w:sz w:val="21"/>
                <w:szCs w:val="21"/>
                <w:highlight w:val="none"/>
                <w:lang w:val="zh-TW"/>
              </w:rPr>
              <w:t>记录患者的基本信息。还包括病人来源，入室时间，透析类型，首透方式，首透时间，透析次数等信息。</w:t>
            </w:r>
          </w:p>
          <w:p w14:paraId="540AC7FB">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zh-TW"/>
              </w:rPr>
              <w:t>支持按SOP模板样式显示，同时支持按结构化自定义样式显示。</w:t>
            </w:r>
          </w:p>
          <w:p w14:paraId="17A868A2">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（3）</w:t>
            </w:r>
            <w:r>
              <w:rPr>
                <w:rFonts w:hint="eastAsia" w:ascii="宋体" w:hAnsi="宋体" w:eastAsia="宋体" w:cs="宋体"/>
                <w:color w:val="auto"/>
                <w:sz w:val="21"/>
                <w:szCs w:val="21"/>
                <w:highlight w:val="none"/>
                <w:lang w:val="zh-TW"/>
              </w:rPr>
              <w:t>包括患者主诉，既往病史，体格检查，病历文本，化验检查等内容。内容支持按模板格式添加。</w:t>
            </w:r>
          </w:p>
          <w:p w14:paraId="0CC30C20">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（4）</w:t>
            </w:r>
            <w:r>
              <w:rPr>
                <w:rFonts w:hint="eastAsia" w:ascii="宋体" w:hAnsi="宋体" w:eastAsia="宋体" w:cs="宋体"/>
                <w:color w:val="auto"/>
                <w:sz w:val="21"/>
                <w:szCs w:val="21"/>
                <w:highlight w:val="none"/>
                <w:lang w:val="zh-TW"/>
              </w:rPr>
              <w:t>对患者病情和诊疗过程所进行的连续性记录。内容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包括患者的病情变化情况、重要的辅助检查结果及临床意义、上级医师查房意见、会诊意见、医师分析讨论意见、所采取的诊疗措施及效果、医嘱更改及理由、向患者及其近亲属告知的重要事项等。支持通过自定义的模板进行添加。</w:t>
            </w:r>
          </w:p>
          <w:p w14:paraId="6B79F085">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（5）</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lang w:val="zh-TW"/>
              </w:rPr>
              <w:t>患者的诊断信息，提供诊断知识库选择添加，也可自定义诊断内容。</w:t>
            </w:r>
          </w:p>
          <w:p w14:paraId="2BC03F54">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（6）</w:t>
            </w:r>
            <w:r>
              <w:rPr>
                <w:rFonts w:hint="eastAsia" w:ascii="宋体" w:hAnsi="宋体" w:eastAsia="宋体" w:cs="宋体"/>
                <w:color w:val="auto"/>
                <w:sz w:val="21"/>
                <w:szCs w:val="21"/>
                <w:highlight w:val="none"/>
                <w:lang w:val="zh-TW"/>
              </w:rPr>
              <w:t>支持开立长期医嘱，设置常用组套。支持按在用和停用</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院外医嘱和透中医嘱进行分类筛选。支持批量新增医嘱和长期医嘱停用。</w:t>
            </w:r>
          </w:p>
          <w:p w14:paraId="19D255F7">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（7）</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lang w:val="zh-TW"/>
              </w:rPr>
              <w:t>出入院记录是完整病历的缩影，是较为详细的摘要，应能反映疾病的概况和要点。</w:t>
            </w:r>
          </w:p>
          <w:p w14:paraId="13A0C97B">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（8）</w:t>
            </w:r>
            <w:r>
              <w:rPr>
                <w:rFonts w:hint="eastAsia" w:ascii="宋体" w:hAnsi="宋体" w:eastAsia="宋体" w:cs="宋体"/>
                <w:color w:val="auto"/>
                <w:sz w:val="21"/>
                <w:szCs w:val="21"/>
                <w:highlight w:val="none"/>
                <w:lang w:val="zh-TW"/>
              </w:rPr>
              <w:t>门诊手术记录，</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包括内瘘手术记录及中心静脉置管手术记录。</w:t>
            </w:r>
          </w:p>
          <w:p w14:paraId="6FFBFCDA">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rPr>
                <w:rFonts w:hint="eastAsia" w:cs="宋体"/>
                <w:color w:val="auto"/>
                <w:kern w:val="0"/>
                <w:sz w:val="21"/>
                <w:szCs w:val="21"/>
                <w:highlight w:val="none"/>
              </w:rPr>
            </w:pPr>
            <w:r>
              <w:rPr>
                <w:rFonts w:hint="eastAsia" w:cs="宋体"/>
                <w:color w:val="auto"/>
                <w:kern w:val="0"/>
                <w:sz w:val="21"/>
                <w:szCs w:val="21"/>
                <w:highlight w:val="none"/>
                <w:lang w:val="zh-CN" w:eastAsia="zh-CN" w:bidi="zh-CN"/>
              </w:rPr>
              <w:t>（9）</w:t>
            </w:r>
            <w:r>
              <w:rPr>
                <w:rFonts w:hint="eastAsia" w:ascii="宋体" w:hAnsi="宋体" w:eastAsia="宋体" w:cs="宋体"/>
                <w:color w:val="auto"/>
                <w:sz w:val="21"/>
                <w:szCs w:val="21"/>
                <w:highlight w:val="none"/>
                <w:lang w:val="zh-TW"/>
              </w:rPr>
              <w:t>患者透析治疗方案管理，支持新增修改停用和删除。支持透析方案模板管理，新建透析方案时支持套用透析方案模板。</w:t>
            </w:r>
          </w:p>
          <w:p w14:paraId="4A5C5041">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rPr>
                <w:rFonts w:hint="eastAsia" w:cs="宋体"/>
                <w:color w:val="auto"/>
                <w:kern w:val="0"/>
                <w:sz w:val="21"/>
                <w:szCs w:val="21"/>
                <w:highlight w:val="none"/>
              </w:rPr>
            </w:pPr>
            <w:r>
              <w:rPr>
                <w:rFonts w:hint="eastAsia" w:cs="宋体"/>
                <w:color w:val="auto"/>
                <w:kern w:val="0"/>
                <w:sz w:val="21"/>
                <w:szCs w:val="21"/>
                <w:highlight w:val="none"/>
                <w:lang w:val="zh-CN" w:eastAsia="zh-CN" w:bidi="zh-CN"/>
              </w:rPr>
              <w:t>（10）</w:t>
            </w:r>
            <w:r>
              <w:rPr>
                <w:rFonts w:hint="eastAsia" w:cs="宋体"/>
                <w:color w:val="auto"/>
                <w:kern w:val="0"/>
                <w:sz w:val="21"/>
                <w:szCs w:val="21"/>
                <w:highlight w:val="none"/>
              </w:rPr>
              <w:t>▲血管通路记录，</w:t>
            </w:r>
            <w:r>
              <w:rPr>
                <w:rFonts w:hint="eastAsia" w:cs="宋体"/>
                <w:color w:val="auto"/>
                <w:kern w:val="0"/>
                <w:sz w:val="21"/>
                <w:szCs w:val="21"/>
                <w:highlight w:val="none"/>
                <w:lang w:val="en-US" w:eastAsia="zh-CN"/>
              </w:rPr>
              <w:t>应</w:t>
            </w:r>
            <w:r>
              <w:rPr>
                <w:rFonts w:hint="eastAsia" w:cs="宋体"/>
                <w:color w:val="auto"/>
                <w:kern w:val="0"/>
                <w:sz w:val="21"/>
                <w:szCs w:val="21"/>
                <w:highlight w:val="none"/>
              </w:rPr>
              <w:t>包括通路信息、通路列表、通路照片</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支持多张录入</w:t>
            </w:r>
            <w:r>
              <w:rPr>
                <w:rFonts w:hint="eastAsia" w:cs="宋体"/>
                <w:color w:val="auto"/>
                <w:kern w:val="0"/>
                <w:sz w:val="21"/>
                <w:szCs w:val="21"/>
                <w:highlight w:val="none"/>
                <w:lang w:eastAsia="zh-CN"/>
              </w:rPr>
              <w:t>）</w:t>
            </w:r>
            <w:r>
              <w:rPr>
                <w:rFonts w:hint="eastAsia" w:cs="宋体"/>
                <w:color w:val="auto"/>
                <w:kern w:val="0"/>
                <w:sz w:val="21"/>
                <w:szCs w:val="21"/>
                <w:highlight w:val="none"/>
              </w:rPr>
              <w:t>和穿刺信息。</w:t>
            </w:r>
          </w:p>
          <w:p w14:paraId="21366D2E">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（11）</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患者历史透析记录显示，</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支持按简要和详细两种模式显示透析记录，支持透析记录单查看和打印。</w:t>
            </w:r>
          </w:p>
          <w:p w14:paraId="2F7BB973">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（12）</w:t>
            </w:r>
            <w:r>
              <w:rPr>
                <w:rFonts w:hint="eastAsia" w:ascii="宋体" w:hAnsi="宋体" w:eastAsia="宋体" w:cs="宋体"/>
                <w:color w:val="auto"/>
                <w:sz w:val="21"/>
                <w:szCs w:val="21"/>
                <w:highlight w:val="none"/>
                <w:lang w:val="zh-TW"/>
              </w:rPr>
              <w:t>从</w:t>
            </w:r>
            <w:r>
              <w:rPr>
                <w:rFonts w:hint="eastAsia" w:ascii="宋体" w:hAnsi="宋体" w:eastAsia="宋体" w:cs="宋体"/>
                <w:color w:val="auto"/>
                <w:sz w:val="21"/>
                <w:szCs w:val="21"/>
                <w:highlight w:val="none"/>
              </w:rPr>
              <w:t>L</w:t>
            </w:r>
            <w:r>
              <w:rPr>
                <w:rFonts w:hint="eastAsia" w:ascii="宋体" w:hAnsi="宋体" w:eastAsia="宋体" w:cs="宋体"/>
                <w:color w:val="auto"/>
                <w:sz w:val="21"/>
                <w:szCs w:val="21"/>
                <w:highlight w:val="none"/>
                <w:lang w:val="zh-TW"/>
              </w:rPr>
              <w:t>IS系统导入的经过数据整合和单位转换后可以被系统利用的化验数据，支持在不对接</w:t>
            </w:r>
            <w:r>
              <w:rPr>
                <w:rFonts w:hint="eastAsia" w:ascii="宋体" w:hAnsi="宋体" w:eastAsia="宋体" w:cs="宋体"/>
                <w:color w:val="auto"/>
                <w:sz w:val="21"/>
                <w:szCs w:val="21"/>
                <w:highlight w:val="none"/>
              </w:rPr>
              <w:t>L</w:t>
            </w:r>
            <w:r>
              <w:rPr>
                <w:rFonts w:hint="eastAsia" w:ascii="宋体" w:hAnsi="宋体" w:eastAsia="宋体" w:cs="宋体"/>
                <w:color w:val="auto"/>
                <w:sz w:val="21"/>
                <w:szCs w:val="21"/>
                <w:highlight w:val="none"/>
                <w:lang w:val="zh-TW"/>
              </w:rPr>
              <w:t>IS系统的情况下手工录入化验数据。</w:t>
            </w:r>
          </w:p>
          <w:p w14:paraId="397522DC">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sz w:val="22"/>
                <w:highlight w:val="none"/>
              </w:rPr>
            </w:pPr>
            <w:r>
              <w:rPr>
                <w:rFonts w:hint="eastAsia" w:cs="宋体"/>
                <w:color w:val="auto"/>
                <w:kern w:val="2"/>
                <w:sz w:val="21"/>
                <w:szCs w:val="21"/>
                <w:highlight w:val="none"/>
                <w:lang w:val="zh-TW" w:eastAsia="zh-CN" w:bidi="zh-CN"/>
              </w:rPr>
              <w:t>（13）</w:t>
            </w:r>
            <w:r>
              <w:rPr>
                <w:rFonts w:hint="eastAsia" w:ascii="宋体" w:hAnsi="宋体" w:eastAsia="宋体" w:cs="宋体"/>
                <w:color w:val="auto"/>
                <w:sz w:val="21"/>
                <w:szCs w:val="21"/>
                <w:highlight w:val="none"/>
                <w:lang w:val="zh-TW"/>
              </w:rPr>
              <w:t>支持上传患者的相关医疗文书扫描件并进行管理。</w:t>
            </w:r>
          </w:p>
        </w:tc>
      </w:tr>
      <w:tr w14:paraId="2B4583B6">
        <w:tblPrEx>
          <w:tblCellMar>
            <w:top w:w="0" w:type="dxa"/>
            <w:left w:w="108" w:type="dxa"/>
            <w:bottom w:w="0" w:type="dxa"/>
            <w:right w:w="108" w:type="dxa"/>
          </w:tblCellMar>
        </w:tblPrEx>
        <w:trPr>
          <w:trHeight w:val="47"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B37D02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排班管理</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0277B442">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rPr>
                <w:rFonts w:hint="eastAsia" w:cs="宋体"/>
                <w:color w:val="auto"/>
                <w:kern w:val="0"/>
                <w:sz w:val="21"/>
                <w:szCs w:val="21"/>
                <w:highlight w:val="none"/>
              </w:rPr>
            </w:pPr>
            <w:r>
              <w:rPr>
                <w:rFonts w:hint="eastAsia" w:cs="宋体"/>
                <w:color w:val="auto"/>
                <w:kern w:val="0"/>
                <w:sz w:val="21"/>
                <w:szCs w:val="21"/>
                <w:highlight w:val="none"/>
                <w:lang w:val="zh-CN" w:eastAsia="zh-CN" w:bidi="zh-CN"/>
              </w:rPr>
              <w:t>（1）</w:t>
            </w:r>
            <w:r>
              <w:rPr>
                <w:rFonts w:hint="eastAsia" w:ascii="宋体" w:hAnsi="宋体" w:eastAsia="宋体" w:cs="宋体"/>
                <w:color w:val="auto"/>
                <w:sz w:val="21"/>
                <w:szCs w:val="21"/>
                <w:highlight w:val="none"/>
                <w:lang w:val="zh-TW"/>
              </w:rPr>
              <w:t>医生为患者进行透析排班，只排定班次，不指定床位，</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支持以下功能：1)自动排班</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2)手动排班</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3)排班模板</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4)复制排班</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5)导出排班</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6)支持排班时对患者的感染情况和已排班数量进行校验和提示</w:t>
            </w:r>
            <w:r>
              <w:rPr>
                <w:rFonts w:hint="eastAsia" w:cs="宋体"/>
                <w:color w:val="auto"/>
                <w:sz w:val="21"/>
                <w:szCs w:val="21"/>
                <w:highlight w:val="none"/>
                <w:lang w:val="zh-TW" w:eastAsia="zh-CN"/>
              </w:rPr>
              <w:t>；</w:t>
            </w:r>
            <w:r>
              <w:rPr>
                <w:rFonts w:hint="eastAsia" w:cs="宋体"/>
                <w:color w:val="auto"/>
                <w:sz w:val="21"/>
                <w:szCs w:val="21"/>
                <w:highlight w:val="none"/>
                <w:lang w:val="en-US" w:eastAsia="zh-CN"/>
              </w:rPr>
              <w:t>7)</w:t>
            </w:r>
            <w:r>
              <w:rPr>
                <w:rFonts w:hint="eastAsia" w:cs="宋体"/>
                <w:color w:val="auto"/>
                <w:kern w:val="0"/>
                <w:sz w:val="21"/>
                <w:szCs w:val="21"/>
                <w:highlight w:val="none"/>
              </w:rPr>
              <w:t>支持患者维度查看所有模板中的排班数据</w:t>
            </w:r>
            <w:r>
              <w:rPr>
                <w:rFonts w:hint="eastAsia" w:cs="宋体"/>
                <w:color w:val="auto"/>
                <w:kern w:val="0"/>
                <w:sz w:val="21"/>
                <w:szCs w:val="21"/>
                <w:highlight w:val="none"/>
                <w:lang w:val="en-US" w:eastAsia="zh-CN"/>
              </w:rPr>
              <w:t>；8)</w:t>
            </w:r>
            <w:r>
              <w:rPr>
                <w:rFonts w:hint="eastAsia" w:cs="宋体"/>
                <w:color w:val="auto"/>
                <w:kern w:val="0"/>
                <w:sz w:val="21"/>
                <w:szCs w:val="21"/>
                <w:highlight w:val="none"/>
              </w:rPr>
              <w:t>支持临时调整患者透析器、滤器</w:t>
            </w:r>
            <w:r>
              <w:rPr>
                <w:rFonts w:hint="eastAsia" w:cs="宋体"/>
                <w:color w:val="auto"/>
                <w:kern w:val="0"/>
                <w:sz w:val="21"/>
                <w:szCs w:val="21"/>
                <w:highlight w:val="none"/>
                <w:lang w:val="en-US" w:eastAsia="zh-CN"/>
              </w:rPr>
              <w:t>；9)</w:t>
            </w:r>
            <w:r>
              <w:rPr>
                <w:rFonts w:hint="eastAsia" w:cs="宋体"/>
                <w:color w:val="auto"/>
                <w:kern w:val="0"/>
                <w:sz w:val="21"/>
                <w:szCs w:val="21"/>
                <w:highlight w:val="none"/>
              </w:rPr>
              <w:t>支持快速编辑透析计划入口</w:t>
            </w:r>
            <w:r>
              <w:rPr>
                <w:rFonts w:hint="eastAsia" w:cs="宋体"/>
                <w:color w:val="auto"/>
                <w:kern w:val="0"/>
                <w:sz w:val="21"/>
                <w:szCs w:val="21"/>
                <w:highlight w:val="none"/>
                <w:lang w:val="en-US" w:eastAsia="zh-CN"/>
              </w:rPr>
              <w:t>；10)</w:t>
            </w:r>
            <w:r>
              <w:rPr>
                <w:rFonts w:hint="eastAsia" w:cs="宋体"/>
                <w:color w:val="auto"/>
                <w:kern w:val="0"/>
                <w:sz w:val="21"/>
                <w:szCs w:val="21"/>
                <w:highlight w:val="none"/>
              </w:rPr>
              <w:t>支持显示患者住院标识</w:t>
            </w:r>
            <w:r>
              <w:rPr>
                <w:rFonts w:hint="eastAsia" w:cs="宋体"/>
                <w:color w:val="auto"/>
                <w:kern w:val="0"/>
                <w:sz w:val="21"/>
                <w:szCs w:val="21"/>
                <w:highlight w:val="none"/>
                <w:lang w:val="en-US" w:eastAsia="zh-CN"/>
              </w:rPr>
              <w:t>；11)</w:t>
            </w:r>
            <w:r>
              <w:rPr>
                <w:rFonts w:hint="eastAsia" w:cs="宋体"/>
                <w:color w:val="auto"/>
                <w:kern w:val="0"/>
                <w:sz w:val="21"/>
                <w:szCs w:val="21"/>
                <w:highlight w:val="none"/>
              </w:rPr>
              <w:t>支持单病种标识</w:t>
            </w:r>
            <w:r>
              <w:rPr>
                <w:rFonts w:hint="eastAsia" w:cs="宋体"/>
                <w:color w:val="auto"/>
                <w:kern w:val="0"/>
                <w:sz w:val="21"/>
                <w:szCs w:val="21"/>
                <w:highlight w:val="none"/>
                <w:lang w:eastAsia="zh-CN"/>
              </w:rPr>
              <w:t>。</w:t>
            </w:r>
          </w:p>
          <w:p w14:paraId="6BB8F760">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zh-TW"/>
              </w:rPr>
              <w:t>护士为患者安排透析床位，</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支持以下功能：1)自动排床</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2)手动排床</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3)拖拽排床</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4)排床模板</w:t>
            </w:r>
            <w:r>
              <w:rPr>
                <w:rFonts w:hint="eastAsia" w:ascii="宋体" w:hAnsi="宋体" w:eastAsia="宋体" w:cs="宋体"/>
                <w:color w:val="auto"/>
                <w:sz w:val="21"/>
                <w:szCs w:val="21"/>
                <w:highlight w:val="none"/>
                <w:lang w:val="zh-TW" w:eastAsia="zh-CN"/>
              </w:rPr>
              <w:t>，</w:t>
            </w:r>
            <w:r>
              <w:rPr>
                <w:rFonts w:hint="eastAsia" w:cs="宋体"/>
                <w:color w:val="auto"/>
                <w:kern w:val="0"/>
                <w:sz w:val="21"/>
                <w:szCs w:val="21"/>
                <w:highlight w:val="none"/>
              </w:rPr>
              <w:t>支持右键设置备注，在显示项目中支持配置备注信息是否显示</w:t>
            </w:r>
            <w:r>
              <w:rPr>
                <w:rFonts w:hint="eastAsia" w:cs="宋体"/>
                <w:color w:val="auto"/>
                <w:kern w:val="0"/>
                <w:sz w:val="21"/>
                <w:szCs w:val="21"/>
                <w:highlight w:val="none"/>
                <w:lang w:val="en-US" w:eastAsia="zh-CN"/>
              </w:rPr>
              <w:t>；</w:t>
            </w:r>
            <w:r>
              <w:rPr>
                <w:rFonts w:hint="eastAsia" w:ascii="宋体" w:hAnsi="宋体" w:eastAsia="宋体" w:cs="宋体"/>
                <w:color w:val="auto"/>
                <w:sz w:val="21"/>
                <w:szCs w:val="21"/>
                <w:highlight w:val="none"/>
                <w:lang w:val="zh-TW"/>
              </w:rPr>
              <w:t>5)支持排床时对患者的感染情况和已排床数量进行校验和提示。</w:t>
            </w:r>
          </w:p>
          <w:p w14:paraId="202B3887">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（3）</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支持自定义护士治疗组，治疗组可以跨越物理分区，关联多个物理区的床位。</w:t>
            </w:r>
          </w:p>
          <w:p w14:paraId="78735A5A">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rPr>
                <w:rFonts w:cs="等线"/>
                <w:color w:val="auto"/>
                <w:kern w:val="0"/>
                <w:sz w:val="22"/>
                <w:highlight w:val="none"/>
              </w:rPr>
            </w:pPr>
            <w:r>
              <w:rPr>
                <w:rFonts w:hint="eastAsia" w:cs="宋体"/>
                <w:color w:val="auto"/>
                <w:kern w:val="2"/>
                <w:sz w:val="21"/>
                <w:szCs w:val="21"/>
                <w:highlight w:val="none"/>
                <w:lang w:val="zh-CN" w:eastAsia="zh-CN" w:bidi="zh-CN"/>
              </w:rPr>
              <w:t>（4）</w:t>
            </w:r>
            <w:r>
              <w:rPr>
                <w:rFonts w:hint="eastAsia" w:cs="宋体"/>
                <w:color w:val="auto"/>
                <w:kern w:val="0"/>
                <w:sz w:val="21"/>
                <w:szCs w:val="21"/>
                <w:highlight w:val="none"/>
              </w:rPr>
              <w:t>▲</w:t>
            </w:r>
            <w:r>
              <w:rPr>
                <w:rFonts w:hint="eastAsia" w:cs="宋体"/>
                <w:color w:val="auto"/>
                <w:kern w:val="0"/>
                <w:sz w:val="21"/>
                <w:szCs w:val="21"/>
                <w:highlight w:val="none"/>
                <w:lang w:val="en-US" w:eastAsia="zh-CN"/>
              </w:rPr>
              <w:t>应</w:t>
            </w:r>
            <w:r>
              <w:rPr>
                <w:rFonts w:hint="eastAsia" w:ascii="宋体" w:hAnsi="宋体" w:eastAsia="宋体" w:cs="宋体"/>
                <w:color w:val="auto"/>
                <w:sz w:val="21"/>
                <w:szCs w:val="21"/>
                <w:highlight w:val="none"/>
                <w:lang w:val="zh-TW"/>
              </w:rPr>
              <w:t>对科室医护人员进行排班，支持与治疗分组结合，支持排班模板功能，支持打印和导出排班记录。</w:t>
            </w:r>
          </w:p>
        </w:tc>
      </w:tr>
      <w:tr w14:paraId="170DED87">
        <w:tblPrEx>
          <w:tblCellMar>
            <w:top w:w="0" w:type="dxa"/>
            <w:left w:w="108" w:type="dxa"/>
            <w:bottom w:w="0" w:type="dxa"/>
            <w:right w:w="108" w:type="dxa"/>
          </w:tblCellMar>
        </w:tblPrEx>
        <w:trPr>
          <w:trHeight w:val="85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9C3F86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透析管理</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6B0CEB85">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ascii="宋体" w:hAnsi="宋体" w:eastAsia="宋体" w:cs="宋体"/>
                <w:color w:val="auto"/>
                <w:sz w:val="21"/>
                <w:szCs w:val="21"/>
                <w:highlight w:val="none"/>
                <w:lang w:val="zh-TW"/>
              </w:rPr>
              <w:t>根据日期/班次/区域筛选查看对应班次和区域患者所涉及到的耗材/药品/透析机耗材，支持按表格全部打印；</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支持按自定义格式的小条打印。</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支持分类总量统计，</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支持数据导出功能。</w:t>
            </w:r>
          </w:p>
          <w:p w14:paraId="64F2A8F8">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zh-TW"/>
              </w:rPr>
              <w:t>管理病人每次透析的信息，包括：透析病情，透析医嘱，透后小结，过程记录，护理评估，耗材信息，并发症记录。透析信息能够自动生成：1)血管通路信息自动从血管通路病历中获取；2)执行医嘱自动从透析医嘱中自动获取；3)透析医嘱自动从透析方案中获取；4)目标脱水自动计算；5)耗材信息根据系统绑定自动记录；6)支持患者加透治疗；7)便捷历史透析记录查询，供医生参考；8)透析治疗完成后进行归档，归档后的病历数据不能被修改；9)归档后自动进行库存出库，自动记录使用的耗材信息，库存数量低于设定值时给予提醒</w:t>
            </w:r>
            <w:r>
              <w:rPr>
                <w:rFonts w:hint="eastAsia" w:ascii="宋体" w:hAnsi="宋体" w:eastAsia="宋体" w:cs="宋体"/>
                <w:color w:val="auto"/>
                <w:sz w:val="21"/>
                <w:szCs w:val="21"/>
                <w:highlight w:val="none"/>
                <w:lang w:val="zh-TW" w:eastAsia="zh-CN"/>
              </w:rPr>
              <w:t>；</w:t>
            </w:r>
            <w:r>
              <w:rPr>
                <w:rFonts w:hint="eastAsia" w:ascii="宋体" w:hAnsi="宋体" w:eastAsia="宋体" w:cs="宋体"/>
                <w:color w:val="auto"/>
                <w:sz w:val="21"/>
                <w:szCs w:val="21"/>
                <w:highlight w:val="none"/>
                <w:lang w:val="zh-TW"/>
              </w:rPr>
              <w:t>10)支持上机小条、医嘱小条打印，方便医护对患者和患者药品核对。</w:t>
            </w:r>
          </w:p>
          <w:p w14:paraId="3B57E759">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（3）</w:t>
            </w:r>
            <w:r>
              <w:rPr>
                <w:rFonts w:hint="eastAsia" w:ascii="宋体" w:hAnsi="宋体" w:eastAsia="宋体" w:cs="宋体"/>
                <w:color w:val="auto"/>
                <w:sz w:val="21"/>
                <w:szCs w:val="21"/>
                <w:highlight w:val="none"/>
                <w:lang w:val="zh-TW"/>
              </w:rPr>
              <w:t>透析记录单管理，</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包含查询、预览、打印、批量打印、导出和批量导出等功能。</w:t>
            </w:r>
          </w:p>
          <w:p w14:paraId="0C8735E0">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（4）</w:t>
            </w:r>
            <w:r>
              <w:rPr>
                <w:rFonts w:hint="eastAsia" w:ascii="宋体" w:hAnsi="宋体" w:eastAsia="宋体" w:cs="宋体"/>
                <w:color w:val="auto"/>
                <w:sz w:val="21"/>
                <w:szCs w:val="21"/>
                <w:highlight w:val="none"/>
                <w:lang w:val="zh-TW"/>
              </w:rPr>
              <w:t>设定医嘱特定使用日期，多为临时医嘱，在透析当日系统自动拉取。</w:t>
            </w:r>
          </w:p>
          <w:p w14:paraId="1A603A05">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rPr>
                <w:rFonts w:cs="等线"/>
                <w:color w:val="auto"/>
                <w:sz w:val="22"/>
                <w:highlight w:val="none"/>
              </w:rPr>
            </w:pPr>
            <w:r>
              <w:rPr>
                <w:rFonts w:hint="eastAsia" w:cs="宋体"/>
                <w:color w:val="auto"/>
                <w:kern w:val="2"/>
                <w:sz w:val="21"/>
                <w:szCs w:val="21"/>
                <w:highlight w:val="none"/>
                <w:lang w:val="zh-CN" w:eastAsia="zh-CN" w:bidi="zh-CN"/>
              </w:rPr>
              <w:t>（5）</w:t>
            </w:r>
            <w:r>
              <w:rPr>
                <w:rFonts w:hint="eastAsia" w:ascii="宋体" w:hAnsi="宋体" w:eastAsia="宋体" w:cs="宋体"/>
                <w:color w:val="auto"/>
                <w:sz w:val="21"/>
                <w:szCs w:val="21"/>
                <w:highlight w:val="none"/>
                <w:lang w:val="zh-TW"/>
              </w:rPr>
              <w:t>包括科室交接班和患者交接班，支持交接班数据自动预生成。</w:t>
            </w:r>
          </w:p>
        </w:tc>
      </w:tr>
      <w:tr w14:paraId="523C4573">
        <w:tblPrEx>
          <w:tblCellMar>
            <w:top w:w="0" w:type="dxa"/>
            <w:left w:w="108" w:type="dxa"/>
            <w:bottom w:w="0" w:type="dxa"/>
            <w:right w:w="108" w:type="dxa"/>
          </w:tblCellMar>
        </w:tblPrEx>
        <w:trPr>
          <w:trHeight w:val="28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365392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库存管理</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3383009E">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实现透析所需材料和药品的基本信息管理。</w:t>
            </w:r>
          </w:p>
          <w:p w14:paraId="41EE4076">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zh-TW"/>
              </w:rPr>
              <w:t>以单个中心为基础，实现对药品的入库管理，准确记录每条入库信息，形成药品的入库单，入库后增加相关库存数据。包括入库、退货、出库、退库、库存查询、使用记录和库存盘点。</w:t>
            </w:r>
          </w:p>
          <w:p w14:paraId="7AFBC626">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（3）</w:t>
            </w:r>
            <w:r>
              <w:rPr>
                <w:rFonts w:hint="eastAsia" w:ascii="宋体" w:hAnsi="宋体" w:eastAsia="宋体" w:cs="宋体"/>
                <w:color w:val="auto"/>
                <w:sz w:val="21"/>
                <w:szCs w:val="21"/>
                <w:highlight w:val="none"/>
                <w:lang w:val="zh-TW"/>
              </w:rPr>
              <w:t>以单个中心为基础，实现对耗材的入库管理，准确记录每条入库信息，形成耗材的入库单，入库后增加相关库存数据。包括入库、退货、出库、退库、库存查询、使用记录和库存盘点。</w:t>
            </w:r>
          </w:p>
          <w:p w14:paraId="0B8031CF">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sz w:val="22"/>
                <w:highlight w:val="none"/>
              </w:rPr>
            </w:pPr>
            <w:r>
              <w:rPr>
                <w:rFonts w:hint="eastAsia" w:cs="宋体"/>
                <w:color w:val="auto"/>
                <w:kern w:val="2"/>
                <w:sz w:val="21"/>
                <w:szCs w:val="21"/>
                <w:highlight w:val="none"/>
                <w:lang w:val="zh-TW" w:eastAsia="zh-CN" w:bidi="zh-CN"/>
              </w:rPr>
              <w:t>（4）</w:t>
            </w:r>
            <w:r>
              <w:rPr>
                <w:rFonts w:hint="eastAsia" w:ascii="宋体" w:hAnsi="宋体" w:eastAsia="宋体" w:cs="宋体"/>
                <w:color w:val="auto"/>
                <w:sz w:val="21"/>
                <w:szCs w:val="21"/>
                <w:highlight w:val="none"/>
                <w:lang w:val="zh-TW"/>
              </w:rPr>
              <w:t>系统记录每笔入库信息，并形成入库单。显示患者每次透析使用个人库存里的药品明细，为药品使用跟踪提供支持。支持统计患者药品库存状况，并生成库存详细清单。支持库存盘点。药品支持定义库存数量阈值，对低于阈值的耗材用红色标识，提示及时补充和调配库存，以免出现延误治疗的情况。</w:t>
            </w:r>
          </w:p>
        </w:tc>
      </w:tr>
      <w:tr w14:paraId="50D87A24">
        <w:tblPrEx>
          <w:tblCellMar>
            <w:top w:w="0" w:type="dxa"/>
            <w:left w:w="108" w:type="dxa"/>
            <w:bottom w:w="0" w:type="dxa"/>
            <w:right w:w="108" w:type="dxa"/>
          </w:tblCellMar>
        </w:tblPrEx>
        <w:trPr>
          <w:trHeight w:val="114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4C51E3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费用管理</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1538206E">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rPr>
            </w:pPr>
            <w:r>
              <w:rPr>
                <w:rFonts w:hint="eastAsia" w:cs="宋体"/>
                <w:color w:val="auto"/>
                <w:kern w:val="2"/>
                <w:sz w:val="21"/>
                <w:szCs w:val="21"/>
                <w:highlight w:val="none"/>
                <w:lang w:val="zh-CN" w:eastAsia="zh-CN" w:bidi="zh-CN"/>
              </w:rPr>
              <w:t>（1）</w:t>
            </w:r>
            <w:r>
              <w:rPr>
                <w:rFonts w:hint="eastAsia" w:ascii="宋体" w:hAnsi="宋体" w:eastAsia="宋体" w:cs="宋体"/>
                <w:color w:val="auto"/>
                <w:sz w:val="21"/>
                <w:szCs w:val="21"/>
                <w:highlight w:val="none"/>
                <w:lang w:val="zh-TW"/>
              </w:rPr>
              <w:t>实现套餐定制，为耗材自动记录与统计提供关联设置，组套内的耗材内容会在患者进行相应治疗时自动拉取到该患者透析记录单内的耗材处</w:t>
            </w:r>
            <w:r>
              <w:rPr>
                <w:rFonts w:hint="eastAsia" w:ascii="宋体" w:hAnsi="宋体" w:eastAsia="宋体" w:cs="宋体"/>
                <w:color w:val="auto"/>
                <w:sz w:val="21"/>
                <w:szCs w:val="21"/>
                <w:highlight w:val="none"/>
              </w:rPr>
              <w:t>。</w:t>
            </w:r>
          </w:p>
          <w:p w14:paraId="49A7C845">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zh-TW"/>
              </w:rPr>
              <w:t>费用基础组套，</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包括：治疗模式、透析器、血滤器、灌流器、血管通路、透析机类型等。</w:t>
            </w:r>
          </w:p>
          <w:p w14:paraId="4EA36850">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kern w:val="0"/>
                <w:sz w:val="22"/>
                <w:highlight w:val="none"/>
              </w:rPr>
            </w:pPr>
            <w:r>
              <w:rPr>
                <w:rFonts w:hint="eastAsia" w:cs="宋体"/>
                <w:color w:val="auto"/>
                <w:kern w:val="2"/>
                <w:sz w:val="21"/>
                <w:szCs w:val="21"/>
                <w:highlight w:val="none"/>
                <w:lang w:val="zh-TW" w:eastAsia="zh-CN" w:bidi="zh-CN"/>
              </w:rPr>
              <w:t>（3）</w:t>
            </w:r>
            <w:r>
              <w:rPr>
                <w:rFonts w:hint="eastAsia" w:ascii="宋体" w:hAnsi="宋体" w:eastAsia="宋体" w:cs="宋体"/>
                <w:color w:val="auto"/>
                <w:sz w:val="21"/>
                <w:szCs w:val="21"/>
                <w:highlight w:val="none"/>
                <w:lang w:val="zh-TW"/>
              </w:rPr>
              <w:t>以患者为中心，对患者费用进行统一管理，包括透析费用等。系统记录每笔费用信息，随时可查询。</w:t>
            </w:r>
          </w:p>
        </w:tc>
      </w:tr>
      <w:tr w14:paraId="4297E13A">
        <w:tblPrEx>
          <w:tblCellMar>
            <w:top w:w="0" w:type="dxa"/>
            <w:left w:w="108" w:type="dxa"/>
            <w:bottom w:w="0" w:type="dxa"/>
            <w:right w:w="108" w:type="dxa"/>
          </w:tblCellMar>
        </w:tblPrEx>
        <w:trPr>
          <w:trHeight w:val="57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4BA2C5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设备管理</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7DB48787">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rPr>
            </w:pPr>
            <w:r>
              <w:rPr>
                <w:rFonts w:hint="eastAsia" w:cs="宋体"/>
                <w:color w:val="auto"/>
                <w:kern w:val="2"/>
                <w:sz w:val="21"/>
                <w:szCs w:val="21"/>
                <w:highlight w:val="none"/>
                <w:lang w:val="zh-CN" w:eastAsia="zh-CN" w:bidi="zh-CN"/>
              </w:rPr>
              <w:t>（1）</w:t>
            </w:r>
            <w:r>
              <w:rPr>
                <w:rFonts w:hint="eastAsia" w:ascii="宋体" w:hAnsi="宋体" w:eastAsia="宋体" w:cs="宋体"/>
                <w:color w:val="auto"/>
                <w:sz w:val="21"/>
                <w:szCs w:val="21"/>
                <w:highlight w:val="none"/>
                <w:lang w:val="zh-TW"/>
              </w:rPr>
              <w:t>床位和分区设置，支持床位和分区的绑定，支持床位和透析设备的绑定以及解绑。</w:t>
            </w:r>
          </w:p>
          <w:p w14:paraId="7BB8FDFA">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kern w:val="0"/>
                <w:sz w:val="22"/>
                <w:highlight w:val="none"/>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zh-TW"/>
              </w:rPr>
              <w:t>机器设备管理，</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分为透析机、水处理机和其他设备。包括基本信息</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运行记录</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保养记录</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维修记录</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设备交班</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消毒记录等。</w:t>
            </w:r>
          </w:p>
        </w:tc>
      </w:tr>
      <w:tr w14:paraId="59F07C1C">
        <w:tblPrEx>
          <w:tblCellMar>
            <w:top w:w="0" w:type="dxa"/>
            <w:left w:w="108" w:type="dxa"/>
            <w:bottom w:w="0" w:type="dxa"/>
            <w:right w:w="108" w:type="dxa"/>
          </w:tblCellMar>
        </w:tblPrEx>
        <w:trPr>
          <w:trHeight w:val="85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270C02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辅助模块</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18224B9C">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整合多个化验指标和患者用药情况进行综合对比分析，包括</w:t>
            </w:r>
            <w:r>
              <w:rPr>
                <w:rFonts w:hint="eastAsia" w:cs="宋体"/>
                <w:color w:val="auto"/>
                <w:sz w:val="21"/>
                <w:szCs w:val="21"/>
                <w:highlight w:val="none"/>
                <w:lang w:val="en-US" w:eastAsia="zh-CN"/>
              </w:rPr>
              <w:t>生</w:t>
            </w:r>
            <w:r>
              <w:rPr>
                <w:rFonts w:hint="eastAsia" w:ascii="宋体" w:hAnsi="宋体" w:eastAsia="宋体" w:cs="宋体"/>
                <w:color w:val="auto"/>
                <w:sz w:val="21"/>
                <w:szCs w:val="21"/>
                <w:highlight w:val="none"/>
                <w:lang w:val="zh-TW"/>
              </w:rPr>
              <w:t>命体征、生化检验、贫血管理、CKD-MBD管理、血钾管理等，并支持自由配置。</w:t>
            </w:r>
          </w:p>
          <w:p w14:paraId="2C4126CE">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包括感染指标异常预警、化验指标异常预警、周期性化验提醒。</w:t>
            </w:r>
          </w:p>
          <w:p w14:paraId="33E53068">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（3）</w:t>
            </w:r>
            <w:r>
              <w:rPr>
                <w:rFonts w:hint="eastAsia" w:cs="宋体"/>
                <w:color w:val="auto"/>
                <w:kern w:val="0"/>
                <w:sz w:val="21"/>
                <w:szCs w:val="21"/>
                <w:highlight w:val="none"/>
              </w:rPr>
              <w:t>▲</w:t>
            </w:r>
            <w:r>
              <w:rPr>
                <w:rFonts w:hint="eastAsia" w:cs="宋体"/>
                <w:color w:val="auto"/>
                <w:kern w:val="0"/>
                <w:sz w:val="21"/>
                <w:szCs w:val="21"/>
                <w:highlight w:val="none"/>
                <w:lang w:val="en-US" w:eastAsia="zh-CN"/>
              </w:rPr>
              <w:t>低血压预警。</w:t>
            </w:r>
            <w:r>
              <w:rPr>
                <w:rFonts w:hint="eastAsia" w:ascii="宋体" w:hAnsi="宋体" w:eastAsia="宋体" w:cs="宋体"/>
                <w:color w:val="auto"/>
                <w:sz w:val="21"/>
                <w:szCs w:val="21"/>
                <w:highlight w:val="none"/>
                <w:lang w:val="zh-TW"/>
              </w:rPr>
              <w:t>通过AI算法，根据患者的治疗和体征数据推算出患者本次透析过程中发生低血压并发症的概率，当概率大于预警阈值时警示医生，并通过知识库推荐医生采取相应的干预措施，医生可自行调整干预措施并记录下干预记录。</w:t>
            </w:r>
          </w:p>
          <w:p w14:paraId="72796E03">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（4）</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支持自定义添加系统内的查询字段，组织多条件联合查询的综合查询，支持导出下载查询结果。</w:t>
            </w:r>
          </w:p>
          <w:p w14:paraId="1E163647">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kern w:val="0"/>
                <w:sz w:val="22"/>
                <w:highlight w:val="none"/>
              </w:rPr>
            </w:pPr>
            <w:r>
              <w:rPr>
                <w:rFonts w:hint="eastAsia" w:cs="宋体"/>
                <w:color w:val="auto"/>
                <w:kern w:val="2"/>
                <w:sz w:val="21"/>
                <w:szCs w:val="21"/>
                <w:highlight w:val="none"/>
                <w:lang w:val="zh-TW" w:eastAsia="zh-CN" w:bidi="zh-CN"/>
              </w:rPr>
              <w:t>（5）</w:t>
            </w:r>
            <w:r>
              <w:rPr>
                <w:rFonts w:hint="eastAsia" w:ascii="宋体" w:hAnsi="宋体" w:eastAsia="宋体" w:cs="宋体"/>
                <w:color w:val="auto"/>
                <w:sz w:val="21"/>
                <w:szCs w:val="21"/>
                <w:highlight w:val="none"/>
                <w:lang w:val="zh-TW"/>
              </w:rPr>
              <w:t>医护人员根据患者透析的时间长短、透析并发症情况，进行有规律、有计划的宣教，记录宣教内容</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宣教时间</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完成情况。支持平板签字功能，提高患者的</w:t>
            </w:r>
            <w:r>
              <w:rPr>
                <w:rFonts w:hint="eastAsia" w:cs="宋体"/>
                <w:color w:val="auto"/>
                <w:sz w:val="21"/>
                <w:szCs w:val="21"/>
                <w:highlight w:val="none"/>
                <w:lang w:val="en-US" w:eastAsia="zh-CN"/>
              </w:rPr>
              <w:t>依</w:t>
            </w:r>
            <w:r>
              <w:rPr>
                <w:rFonts w:hint="eastAsia" w:ascii="宋体" w:hAnsi="宋体" w:eastAsia="宋体" w:cs="宋体"/>
                <w:color w:val="auto"/>
                <w:sz w:val="21"/>
                <w:szCs w:val="21"/>
                <w:highlight w:val="none"/>
                <w:lang w:val="zh-TW"/>
              </w:rPr>
              <w:t>从性。</w:t>
            </w:r>
          </w:p>
        </w:tc>
      </w:tr>
      <w:tr w14:paraId="4174E880">
        <w:tblPrEx>
          <w:tblCellMar>
            <w:top w:w="0" w:type="dxa"/>
            <w:left w:w="108" w:type="dxa"/>
            <w:bottom w:w="0" w:type="dxa"/>
            <w:right w:w="108" w:type="dxa"/>
          </w:tblCellMar>
        </w:tblPrEx>
        <w:trPr>
          <w:trHeight w:val="132"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8CDDAA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统计分析</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5965D587">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rPr>
                <w:rFonts w:hint="eastAsia" w:cs="宋体"/>
                <w:color w:val="auto"/>
                <w:kern w:val="0"/>
                <w:sz w:val="21"/>
                <w:szCs w:val="21"/>
                <w:highlight w:val="none"/>
              </w:rPr>
            </w:pPr>
            <w:r>
              <w:rPr>
                <w:rFonts w:hint="eastAsia" w:cs="宋体"/>
                <w:color w:val="auto"/>
                <w:kern w:val="0"/>
                <w:sz w:val="21"/>
                <w:szCs w:val="21"/>
                <w:highlight w:val="none"/>
                <w:lang w:val="zh-CN" w:eastAsia="zh-CN" w:bidi="zh-CN"/>
              </w:rPr>
              <w:t>（1）</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包括所有患者的基础数据统计（男女比例、年龄统计、透龄统计、感染比例、干体重调整记录、透析频次)</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使医护人员准确掌握科室患者的基本情况。</w:t>
            </w:r>
          </w:p>
          <w:p w14:paraId="45D6A46B">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w:t>
            </w:r>
            <w:r>
              <w:rPr>
                <w:rFonts w:hint="eastAsia" w:cs="宋体"/>
                <w:color w:val="auto"/>
                <w:kern w:val="2"/>
                <w:sz w:val="21"/>
                <w:szCs w:val="21"/>
                <w:highlight w:val="none"/>
                <w:lang w:val="en-US" w:eastAsia="zh-CN" w:bidi="zh-CN"/>
              </w:rPr>
              <w:t>2</w:t>
            </w:r>
            <w:r>
              <w:rPr>
                <w:rFonts w:hint="eastAsia" w:cs="宋体"/>
                <w:color w:val="auto"/>
                <w:kern w:val="2"/>
                <w:sz w:val="21"/>
                <w:szCs w:val="21"/>
                <w:highlight w:val="none"/>
                <w:lang w:val="zh-TW" w:eastAsia="zh-CN" w:bidi="zh-CN"/>
              </w:rPr>
              <w:t>）</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包括患者的治疗基础信息统计（血管通路统计、死亡原因统计、转归记录统计、诊断统计)</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为医护人员及时准确掌握科室治疗状况提供数据支持。</w:t>
            </w:r>
          </w:p>
          <w:p w14:paraId="18408264">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kern w:val="0"/>
                <w:sz w:val="22"/>
                <w:highlight w:val="none"/>
              </w:rPr>
            </w:pPr>
            <w:r>
              <w:rPr>
                <w:rFonts w:hint="eastAsia" w:cs="宋体"/>
                <w:color w:val="auto"/>
                <w:kern w:val="2"/>
                <w:sz w:val="21"/>
                <w:szCs w:val="21"/>
                <w:highlight w:val="none"/>
                <w:lang w:val="zh-TW" w:eastAsia="zh-CN" w:bidi="zh-CN"/>
              </w:rPr>
              <w:t>（</w:t>
            </w:r>
            <w:r>
              <w:rPr>
                <w:rFonts w:hint="eastAsia" w:cs="宋体"/>
                <w:color w:val="auto"/>
                <w:kern w:val="2"/>
                <w:sz w:val="21"/>
                <w:szCs w:val="21"/>
                <w:highlight w:val="none"/>
                <w:lang w:val="en-US" w:eastAsia="zh-CN" w:bidi="zh-CN"/>
              </w:rPr>
              <w:t>3</w:t>
            </w:r>
            <w:r>
              <w:rPr>
                <w:rFonts w:hint="eastAsia" w:cs="宋体"/>
                <w:color w:val="auto"/>
                <w:kern w:val="2"/>
                <w:sz w:val="21"/>
                <w:szCs w:val="21"/>
                <w:highlight w:val="none"/>
                <w:lang w:val="zh-TW" w:eastAsia="zh-CN" w:bidi="zh-CN"/>
              </w:rPr>
              <w:t>）</w:t>
            </w:r>
            <w:r>
              <w:rPr>
                <w:rFonts w:hint="eastAsia" w:ascii="宋体" w:hAnsi="宋体" w:eastAsia="宋体" w:cs="宋体"/>
                <w:color w:val="auto"/>
                <w:sz w:val="21"/>
                <w:szCs w:val="21"/>
                <w:highlight w:val="none"/>
                <w:lang w:val="zh-TW"/>
              </w:rPr>
              <w:t>对科室的透析情况进行统计(透析例次统计、透析评估统计、透析并发症统计、透析记录查询</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透析医嘱查询</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血压查询)</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为医护人员准确掌握科室治疗状况提供数据支持。</w:t>
            </w:r>
          </w:p>
        </w:tc>
      </w:tr>
      <w:tr w14:paraId="26964982">
        <w:tblPrEx>
          <w:tblCellMar>
            <w:top w:w="0" w:type="dxa"/>
            <w:left w:w="108" w:type="dxa"/>
            <w:bottom w:w="0" w:type="dxa"/>
            <w:right w:w="108" w:type="dxa"/>
          </w:tblCellMar>
        </w:tblPrEx>
        <w:trPr>
          <w:trHeight w:val="28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9C3450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科室管理</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492408C2">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ascii="宋体" w:hAnsi="宋体" w:eastAsia="宋体" w:cs="宋体"/>
                <w:color w:val="auto"/>
                <w:sz w:val="21"/>
                <w:szCs w:val="21"/>
                <w:highlight w:val="none"/>
                <w:lang w:val="zh-TW"/>
              </w:rPr>
              <w:t>提供科室信息的记录。</w:t>
            </w:r>
          </w:p>
          <w:p w14:paraId="0A1155F3">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zh-TW"/>
              </w:rPr>
              <w:t>提供科室职工信息的记录。</w:t>
            </w:r>
          </w:p>
          <w:p w14:paraId="7C036B8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cs="等线"/>
                <w:color w:val="auto"/>
                <w:kern w:val="0"/>
                <w:sz w:val="22"/>
                <w:highlight w:val="none"/>
              </w:rPr>
            </w:pPr>
            <w:r>
              <w:rPr>
                <w:rFonts w:hint="eastAsia" w:ascii="宋体" w:hAnsi="宋体" w:cs="宋体"/>
                <w:color w:val="auto"/>
                <w:kern w:val="2"/>
                <w:sz w:val="21"/>
                <w:szCs w:val="21"/>
                <w:highlight w:val="none"/>
                <w:lang w:val="zh-TW" w:eastAsia="zh-CN" w:bidi="zh-CN"/>
              </w:rPr>
              <w:t>（3）</w:t>
            </w:r>
            <w:r>
              <w:rPr>
                <w:rFonts w:hint="eastAsia" w:ascii="宋体" w:hAnsi="宋体" w:eastAsia="宋体" w:cs="宋体"/>
                <w:color w:val="auto"/>
                <w:sz w:val="21"/>
                <w:szCs w:val="21"/>
                <w:highlight w:val="none"/>
                <w:lang w:val="zh-TW"/>
              </w:rPr>
              <w:t>提供科室制度及文档管理，</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包括消毒隔离制度</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设备管理制度以及其他规章制度</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便于医护人员进行管理和查看。</w:t>
            </w:r>
          </w:p>
        </w:tc>
      </w:tr>
      <w:tr w14:paraId="0B9CC416">
        <w:tblPrEx>
          <w:tblCellMar>
            <w:top w:w="0" w:type="dxa"/>
            <w:left w:w="108" w:type="dxa"/>
            <w:bottom w:w="0" w:type="dxa"/>
            <w:right w:w="108" w:type="dxa"/>
          </w:tblCellMar>
        </w:tblPrEx>
        <w:trPr>
          <w:trHeight w:val="85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DA8CA6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院感管理</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6CEB4BFF">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包括：透析用水化学污染物监测</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透析用水内毒素监测</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透析用水细菌培养。</w:t>
            </w:r>
          </w:p>
          <w:p w14:paraId="76F7737F">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color w:val="auto"/>
                <w:highlight w:val="none"/>
              </w:rPr>
            </w:pPr>
            <w:r>
              <w:rPr>
                <w:rFonts w:hint="eastAsia" w:cs="宋体"/>
                <w:color w:val="auto"/>
                <w:kern w:val="2"/>
                <w:sz w:val="21"/>
                <w:szCs w:val="21"/>
                <w:highlight w:val="none"/>
                <w:lang w:val="zh-TW" w:eastAsia="zh-CN" w:bidi="zh-CN"/>
              </w:rPr>
              <w:t>（2）</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支持根据给定中高风险地区数据，自动筛查出系统内匹配的患者信息。</w:t>
            </w:r>
          </w:p>
        </w:tc>
      </w:tr>
      <w:tr w14:paraId="0482F427">
        <w:tblPrEx>
          <w:tblCellMar>
            <w:top w:w="0" w:type="dxa"/>
            <w:left w:w="108" w:type="dxa"/>
            <w:bottom w:w="0" w:type="dxa"/>
            <w:right w:w="108" w:type="dxa"/>
          </w:tblCellMar>
        </w:tblPrEx>
        <w:trPr>
          <w:trHeight w:val="114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297A16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质控上报</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608B4A8C">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kern w:val="0"/>
                <w:sz w:val="22"/>
                <w:highlight w:val="none"/>
              </w:rPr>
            </w:pPr>
            <w:r>
              <w:rPr>
                <w:rFonts w:hint="eastAsia" w:cs="宋体"/>
                <w:color w:val="auto"/>
                <w:kern w:val="2"/>
                <w:sz w:val="21"/>
                <w:szCs w:val="21"/>
                <w:highlight w:val="none"/>
                <w:lang w:val="zh-TW" w:eastAsia="zh-CN" w:bidi="zh-CN"/>
              </w:rPr>
              <w:t>（1）</w:t>
            </w:r>
            <w:r>
              <w:rPr>
                <w:rFonts w:hint="eastAsia" w:ascii="宋体" w:hAnsi="宋体" w:eastAsia="宋体" w:cs="宋体"/>
                <w:color w:val="auto"/>
                <w:sz w:val="21"/>
                <w:szCs w:val="21"/>
                <w:highlight w:val="none"/>
                <w:lang w:val="zh-TW"/>
              </w:rPr>
              <w:t>支持按时间范围/按季度/按月份生成质控数据包并一键上传至CNRDS质控平台。支持按时间范围/按季度/按月份生成质控数据包并导出离线包，传输至外网电脑另行上报。</w:t>
            </w:r>
          </w:p>
        </w:tc>
      </w:tr>
      <w:tr w14:paraId="2560D37E">
        <w:tblPrEx>
          <w:tblCellMar>
            <w:top w:w="0" w:type="dxa"/>
            <w:left w:w="108" w:type="dxa"/>
            <w:bottom w:w="0" w:type="dxa"/>
            <w:right w:w="108" w:type="dxa"/>
          </w:tblCellMar>
        </w:tblPrEx>
        <w:trPr>
          <w:trHeight w:val="28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A17531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系统管理</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3382735D">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ascii="宋体" w:hAnsi="宋体" w:eastAsia="宋体" w:cs="宋体"/>
                <w:color w:val="auto"/>
                <w:sz w:val="21"/>
                <w:szCs w:val="21"/>
                <w:highlight w:val="none"/>
                <w:lang w:val="zh-TW"/>
              </w:rPr>
              <w:t>完成对科室人员的注册和管理，未登记注册的用户不能登录系统。</w:t>
            </w:r>
          </w:p>
          <w:p w14:paraId="0D8E9CBC">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zh-TW"/>
              </w:rPr>
              <w:t>定义系统用户的角色，为角色定义使用权限。</w:t>
            </w:r>
          </w:p>
          <w:p w14:paraId="2CE8BD34">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sz w:val="22"/>
                <w:highlight w:val="none"/>
              </w:rPr>
            </w:pPr>
            <w:r>
              <w:rPr>
                <w:rFonts w:hint="eastAsia" w:cs="宋体"/>
                <w:color w:val="auto"/>
                <w:kern w:val="2"/>
                <w:sz w:val="21"/>
                <w:szCs w:val="21"/>
                <w:highlight w:val="none"/>
                <w:lang w:val="zh-TW" w:eastAsia="zh-CN" w:bidi="zh-CN"/>
              </w:rPr>
              <w:t>（3）</w:t>
            </w:r>
            <w:r>
              <w:rPr>
                <w:rFonts w:hint="eastAsia" w:ascii="宋体" w:hAnsi="宋体" w:eastAsia="宋体" w:cs="宋体"/>
                <w:color w:val="auto"/>
                <w:sz w:val="21"/>
                <w:szCs w:val="21"/>
                <w:highlight w:val="none"/>
                <w:lang w:val="zh-TW"/>
              </w:rPr>
              <w:t>系统管理员角色能够为不同角色动态分配不同的操作权限，权限控制的颗粒度到每个功能模块，</w:t>
            </w:r>
            <w:r>
              <w:rPr>
                <w:rFonts w:hint="eastAsia" w:cs="宋体"/>
                <w:color w:val="auto"/>
                <w:sz w:val="21"/>
                <w:szCs w:val="21"/>
                <w:highlight w:val="none"/>
                <w:lang w:val="en-US" w:eastAsia="zh-CN"/>
              </w:rPr>
              <w:t>各个</w:t>
            </w:r>
            <w:r>
              <w:rPr>
                <w:rFonts w:hint="eastAsia" w:ascii="宋体" w:hAnsi="宋体" w:eastAsia="宋体" w:cs="宋体"/>
                <w:color w:val="auto"/>
                <w:sz w:val="21"/>
                <w:szCs w:val="21"/>
                <w:highlight w:val="none"/>
                <w:lang w:val="zh-TW"/>
              </w:rPr>
              <w:t>功能模块下的功能</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页面</w:t>
            </w:r>
            <w:r>
              <w:rPr>
                <w:rFonts w:hint="eastAsia" w:cs="宋体"/>
                <w:color w:val="auto"/>
                <w:sz w:val="21"/>
                <w:szCs w:val="21"/>
                <w:highlight w:val="none"/>
                <w:lang w:val="en-US" w:eastAsia="zh-CN"/>
              </w:rPr>
              <w:t>均有</w:t>
            </w:r>
            <w:r>
              <w:rPr>
                <w:rFonts w:hint="eastAsia" w:ascii="宋体" w:hAnsi="宋体" w:eastAsia="宋体" w:cs="宋体"/>
                <w:color w:val="auto"/>
                <w:sz w:val="21"/>
                <w:szCs w:val="21"/>
                <w:highlight w:val="none"/>
                <w:lang w:val="zh-TW"/>
              </w:rPr>
              <w:t>增加、修改、删除、查看的权限。</w:t>
            </w:r>
          </w:p>
        </w:tc>
      </w:tr>
      <w:tr w14:paraId="111D1B98">
        <w:tblPrEx>
          <w:tblCellMar>
            <w:top w:w="0" w:type="dxa"/>
            <w:left w:w="108" w:type="dxa"/>
            <w:bottom w:w="0" w:type="dxa"/>
            <w:right w:w="108" w:type="dxa"/>
          </w:tblCellMar>
        </w:tblPrEx>
        <w:trPr>
          <w:trHeight w:val="57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AB803F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自助测量</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068FA21B">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cs="宋体"/>
                <w:color w:val="auto"/>
                <w:kern w:val="0"/>
                <w:sz w:val="21"/>
                <w:szCs w:val="21"/>
                <w:highlight w:val="none"/>
              </w:rPr>
              <w:t>▲</w:t>
            </w:r>
            <w:r>
              <w:rPr>
                <w:rFonts w:hint="eastAsia" w:cs="宋体"/>
                <w:color w:val="auto"/>
                <w:kern w:val="0"/>
                <w:sz w:val="21"/>
                <w:szCs w:val="21"/>
                <w:highlight w:val="none"/>
                <w:lang w:val="en-US" w:eastAsia="zh-CN"/>
              </w:rPr>
              <w:t>应支持</w:t>
            </w:r>
            <w:r>
              <w:rPr>
                <w:rFonts w:hint="eastAsia" w:ascii="宋体" w:hAnsi="宋体" w:eastAsia="宋体" w:cs="宋体"/>
                <w:color w:val="auto"/>
                <w:sz w:val="21"/>
                <w:szCs w:val="21"/>
                <w:highlight w:val="none"/>
                <w:lang w:val="zh-TW"/>
              </w:rPr>
              <w:t>与带数据输出功能的体重秤对接，基于x86硬件平台和Windows系统环境</w:t>
            </w:r>
            <w:r>
              <w:rPr>
                <w:rFonts w:hint="eastAsia" w:ascii="宋体" w:hAnsi="宋体" w:eastAsia="宋体" w:cs="宋体"/>
                <w:color w:val="auto"/>
                <w:sz w:val="21"/>
                <w:szCs w:val="21"/>
                <w:highlight w:val="none"/>
                <w:lang w:val="en-US" w:eastAsia="zh-CN"/>
              </w:rPr>
              <w:t>实现</w:t>
            </w:r>
            <w:r>
              <w:rPr>
                <w:rFonts w:hint="eastAsia" w:ascii="宋体" w:hAnsi="宋体" w:eastAsia="宋体" w:cs="宋体"/>
                <w:color w:val="auto"/>
                <w:sz w:val="21"/>
                <w:szCs w:val="21"/>
                <w:highlight w:val="none"/>
                <w:lang w:val="zh-TW"/>
              </w:rPr>
              <w:t>患者通过人脸识别或透析卡自助称体重，自动记录透前、透后体重数据。</w:t>
            </w:r>
          </w:p>
          <w:p w14:paraId="0385F528">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cs="宋体"/>
                <w:color w:val="auto"/>
                <w:kern w:val="0"/>
                <w:sz w:val="21"/>
                <w:szCs w:val="21"/>
                <w:highlight w:val="none"/>
              </w:rPr>
              <w:t>▲</w:t>
            </w:r>
            <w:r>
              <w:rPr>
                <w:rFonts w:hint="eastAsia" w:cs="宋体"/>
                <w:color w:val="auto"/>
                <w:kern w:val="0"/>
                <w:sz w:val="21"/>
                <w:szCs w:val="21"/>
                <w:highlight w:val="none"/>
                <w:lang w:val="en-US" w:eastAsia="zh-CN"/>
              </w:rPr>
              <w:t>应支持</w:t>
            </w:r>
            <w:r>
              <w:rPr>
                <w:rFonts w:hint="eastAsia" w:ascii="宋体" w:hAnsi="宋体" w:eastAsia="宋体" w:cs="宋体"/>
                <w:color w:val="auto"/>
                <w:sz w:val="21"/>
                <w:szCs w:val="21"/>
                <w:highlight w:val="none"/>
                <w:lang w:val="zh-TW"/>
              </w:rPr>
              <w:t>与带数据输出功能的血压计对接，基于x86硬件平台和Windows系统环境</w:t>
            </w:r>
            <w:r>
              <w:rPr>
                <w:rFonts w:hint="eastAsia" w:ascii="宋体" w:hAnsi="宋体" w:eastAsia="宋体" w:cs="宋体"/>
                <w:color w:val="auto"/>
                <w:sz w:val="21"/>
                <w:szCs w:val="21"/>
                <w:highlight w:val="none"/>
                <w:lang w:val="en-US" w:eastAsia="zh-CN"/>
              </w:rPr>
              <w:t>实现</w:t>
            </w:r>
            <w:r>
              <w:rPr>
                <w:rFonts w:hint="eastAsia" w:ascii="宋体" w:hAnsi="宋体" w:eastAsia="宋体" w:cs="宋体"/>
                <w:color w:val="auto"/>
                <w:sz w:val="21"/>
                <w:szCs w:val="21"/>
                <w:highlight w:val="none"/>
                <w:lang w:val="zh-TW"/>
              </w:rPr>
              <w:t>患者通过人脸识别或透析卡自助测量血压，自动记录透前、透后血压数据。</w:t>
            </w:r>
          </w:p>
          <w:p w14:paraId="22E59FCD">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sz w:val="22"/>
                <w:highlight w:val="none"/>
              </w:rPr>
            </w:pPr>
            <w:r>
              <w:rPr>
                <w:rFonts w:hint="eastAsia" w:cs="宋体"/>
                <w:color w:val="auto"/>
                <w:kern w:val="2"/>
                <w:sz w:val="21"/>
                <w:szCs w:val="21"/>
                <w:highlight w:val="none"/>
                <w:lang w:val="zh-TW" w:eastAsia="zh-CN" w:bidi="zh-CN"/>
              </w:rPr>
              <w:t>（3）</w:t>
            </w:r>
            <w:r>
              <w:rPr>
                <w:rFonts w:hint="eastAsia" w:ascii="宋体" w:hAnsi="宋体" w:eastAsia="宋体" w:cs="宋体"/>
                <w:color w:val="auto"/>
                <w:sz w:val="21"/>
                <w:szCs w:val="21"/>
                <w:highlight w:val="none"/>
                <w:lang w:val="zh-TW"/>
              </w:rPr>
              <w:t>自助测量过程中支持语音流程提示，支持测量结果语音播报，语音播报功能支持单独关闭。</w:t>
            </w:r>
          </w:p>
        </w:tc>
      </w:tr>
      <w:tr w14:paraId="6874DF3F">
        <w:tblPrEx>
          <w:tblCellMar>
            <w:top w:w="0" w:type="dxa"/>
            <w:left w:w="108" w:type="dxa"/>
            <w:bottom w:w="0" w:type="dxa"/>
            <w:right w:w="108" w:type="dxa"/>
          </w:tblCellMar>
        </w:tblPrEx>
        <w:trPr>
          <w:trHeight w:val="85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AF2DF3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大屏系统</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1C86C036">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ascii="宋体" w:hAnsi="宋体" w:eastAsia="宋体" w:cs="宋体"/>
                <w:color w:val="auto"/>
                <w:sz w:val="21"/>
                <w:szCs w:val="21"/>
                <w:highlight w:val="none"/>
                <w:lang w:val="zh-TW"/>
              </w:rPr>
              <w:t>根据患者的签到顺序，医生在接诊时可按顺序呼叫等候区的患者进入接诊区，屏幕显示支持患者隐私保护，支持通过大屏电视语音播报叫号信息。</w:t>
            </w:r>
          </w:p>
          <w:p w14:paraId="4E591150">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通过移动工作站能够实现医护人员远程呼叫等候区的家属，家属根据呼叫的内容完成治疗过程中需要协助的工作，为患者提供及时、周到的服务。</w:t>
            </w:r>
          </w:p>
          <w:p w14:paraId="3C45FDDE">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default" w:ascii="宋体" w:hAnsi="宋体" w:eastAsia="宋体" w:cs="宋体"/>
                <w:color w:val="auto"/>
                <w:sz w:val="21"/>
                <w:szCs w:val="21"/>
                <w:highlight w:val="none"/>
                <w:lang w:val="en-US" w:eastAsia="zh-CN"/>
              </w:rPr>
            </w:pPr>
            <w:r>
              <w:rPr>
                <w:rFonts w:hint="eastAsia" w:cs="宋体"/>
                <w:color w:val="auto"/>
                <w:kern w:val="2"/>
                <w:sz w:val="21"/>
                <w:szCs w:val="21"/>
                <w:highlight w:val="none"/>
                <w:lang w:val="zh-TW" w:eastAsia="zh-CN" w:bidi="zh-CN"/>
              </w:rPr>
              <w:t>（3）</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根据系统设置，显示患者的排班信息，支持根据时间和班次</w:t>
            </w:r>
            <w:r>
              <w:rPr>
                <w:rFonts w:hint="eastAsia" w:cs="宋体"/>
                <w:color w:val="auto"/>
                <w:sz w:val="21"/>
                <w:szCs w:val="21"/>
                <w:highlight w:val="none"/>
                <w:lang w:val="en-US" w:eastAsia="zh-CN"/>
              </w:rPr>
              <w:t>循环播放</w:t>
            </w:r>
            <w:r>
              <w:rPr>
                <w:rFonts w:hint="eastAsia" w:ascii="宋体" w:hAnsi="宋体" w:eastAsia="宋体" w:cs="宋体"/>
                <w:color w:val="auto"/>
                <w:sz w:val="21"/>
                <w:szCs w:val="21"/>
                <w:highlight w:val="none"/>
                <w:lang w:val="zh-TW"/>
              </w:rPr>
              <w:t>。</w:t>
            </w:r>
          </w:p>
          <w:p w14:paraId="2DAF3B95">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cs="等线"/>
                <w:color w:val="auto"/>
                <w:sz w:val="22"/>
                <w:highlight w:val="none"/>
              </w:rPr>
            </w:pPr>
            <w:r>
              <w:rPr>
                <w:rFonts w:hint="eastAsia" w:cs="宋体"/>
                <w:color w:val="auto"/>
                <w:kern w:val="2"/>
                <w:sz w:val="21"/>
                <w:szCs w:val="21"/>
                <w:highlight w:val="none"/>
                <w:lang w:val="zh-TW" w:eastAsia="zh-CN" w:bidi="zh-CN"/>
              </w:rPr>
              <w:t>（4）</w:t>
            </w:r>
            <w:r>
              <w:rPr>
                <w:rFonts w:hint="eastAsia" w:ascii="宋体" w:hAnsi="宋体" w:eastAsia="宋体" w:cs="宋体"/>
                <w:color w:val="auto"/>
                <w:sz w:val="21"/>
                <w:szCs w:val="21"/>
                <w:highlight w:val="none"/>
                <w:lang w:val="zh-TW"/>
              </w:rPr>
              <w:t>根据系统设置，在设定的时间段在等候区大屏电视上播放医护人员选择的宣教视频内容。</w:t>
            </w:r>
          </w:p>
        </w:tc>
      </w:tr>
      <w:tr w14:paraId="30EABA2F">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E38B32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等线"/>
                <w:color w:val="auto"/>
                <w:sz w:val="22"/>
                <w:highlight w:val="none"/>
              </w:rPr>
            </w:pPr>
            <w:r>
              <w:rPr>
                <w:rFonts w:hint="eastAsia" w:cs="等线"/>
                <w:color w:val="auto"/>
                <w:kern w:val="0"/>
                <w:sz w:val="22"/>
                <w:highlight w:val="none"/>
              </w:rPr>
              <w:t>移动工作站</w:t>
            </w:r>
          </w:p>
        </w:tc>
        <w:tc>
          <w:tcPr>
            <w:tcW w:w="7087" w:type="dxa"/>
            <w:tcBorders>
              <w:top w:val="single" w:color="000000" w:sz="4" w:space="0"/>
              <w:left w:val="single" w:color="000000" w:sz="4" w:space="0"/>
              <w:bottom w:val="single" w:color="000000" w:sz="4" w:space="0"/>
              <w:right w:val="single" w:color="000000" w:sz="4" w:space="0"/>
            </w:tcBorders>
            <w:noWrap w:val="0"/>
            <w:vAlign w:val="center"/>
          </w:tcPr>
          <w:p w14:paraId="06BC8FAD">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w:t>
            </w:r>
            <w:r>
              <w:rPr>
                <w:rFonts w:hint="eastAsia" w:ascii="宋体" w:hAnsi="宋体" w:eastAsia="宋体" w:cs="宋体"/>
                <w:color w:val="auto"/>
                <w:sz w:val="21"/>
                <w:szCs w:val="21"/>
                <w:highlight w:val="none"/>
                <w:lang w:val="zh-TW"/>
              </w:rPr>
              <w:t>系统根据透析方式自动拉取已保存好的透析医嘱显示在信息界面，减少手工输入量，使接诊方便快捷。</w:t>
            </w:r>
          </w:p>
          <w:p w14:paraId="32132D6F">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（2）</w:t>
            </w:r>
            <w:r>
              <w:rPr>
                <w:rFonts w:hint="eastAsia" w:ascii="宋体" w:hAnsi="宋体" w:eastAsia="宋体" w:cs="宋体"/>
                <w:color w:val="auto"/>
                <w:sz w:val="21"/>
                <w:szCs w:val="21"/>
                <w:highlight w:val="none"/>
                <w:lang w:val="zh-TW"/>
              </w:rPr>
              <w:t>医生接诊完成后，医生下的医嘱在床旁工作站</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同步显示，护士在床旁可以核对确认并执行患者医嘱。</w:t>
            </w:r>
          </w:p>
          <w:p w14:paraId="3645886F">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（3）</w:t>
            </w:r>
            <w:r>
              <w:rPr>
                <w:rFonts w:hint="eastAsia" w:ascii="宋体" w:hAnsi="宋体" w:eastAsia="宋体" w:cs="宋体"/>
                <w:color w:val="auto"/>
                <w:sz w:val="21"/>
                <w:szCs w:val="21"/>
                <w:highlight w:val="none"/>
                <w:lang w:val="zh-TW"/>
              </w:rPr>
              <w:t>护士床旁定时记入透析治疗数据和患者各项生命体征，床旁移动工作站触控操作，方便快捷全面取代纸质单据。</w:t>
            </w:r>
          </w:p>
          <w:p w14:paraId="082A0B15">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（4）</w:t>
            </w:r>
            <w:r>
              <w:rPr>
                <w:rFonts w:hint="eastAsia" w:ascii="宋体" w:hAnsi="宋体" w:eastAsia="宋体" w:cs="宋体"/>
                <w:color w:val="auto"/>
                <w:sz w:val="21"/>
                <w:szCs w:val="21"/>
                <w:highlight w:val="none"/>
                <w:lang w:val="zh-TW"/>
              </w:rPr>
              <w:t>护士使用移动工作站床旁对患者进行透前、透中、透后评估并记录评估状况，方便、快捷。</w:t>
            </w:r>
          </w:p>
          <w:p w14:paraId="1A1474C6">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（5）</w:t>
            </w:r>
            <w:r>
              <w:rPr>
                <w:rFonts w:hint="eastAsia" w:ascii="宋体" w:hAnsi="宋体" w:eastAsia="宋体" w:cs="宋体"/>
                <w:color w:val="auto"/>
                <w:sz w:val="21"/>
                <w:szCs w:val="21"/>
                <w:highlight w:val="none"/>
                <w:lang w:val="zh-TW"/>
              </w:rPr>
              <w:t>护士使用移动工作站床旁可以自动记录耗材使用和费用记录，也可以根据医嘱的临时变化进行手动追加耗材。</w:t>
            </w:r>
          </w:p>
          <w:p w14:paraId="52D848FD">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（6）</w:t>
            </w:r>
            <w:r>
              <w:rPr>
                <w:rFonts w:hint="eastAsia" w:ascii="宋体" w:hAnsi="宋体" w:eastAsia="宋体" w:cs="宋体"/>
                <w:color w:val="auto"/>
                <w:sz w:val="21"/>
                <w:szCs w:val="21"/>
                <w:highlight w:val="none"/>
                <w:lang w:val="zh-TW"/>
              </w:rPr>
              <w:t>护士可以通过移动工作站完成患者下机，记录透后患者的体征数据和透后小结信息，并完成透析机消毒等信息的记录。</w:t>
            </w:r>
          </w:p>
          <w:p w14:paraId="040F148C">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（7）</w:t>
            </w:r>
            <w:r>
              <w:rPr>
                <w:rFonts w:hint="eastAsia" w:ascii="宋体" w:hAnsi="宋体" w:eastAsia="宋体" w:cs="宋体"/>
                <w:color w:val="auto"/>
                <w:sz w:val="21"/>
                <w:szCs w:val="21"/>
                <w:highlight w:val="none"/>
                <w:lang w:val="zh-TW"/>
              </w:rPr>
              <w:t>患者下机后，护士可填写透析机消毒记录，方便快捷。</w:t>
            </w:r>
          </w:p>
          <w:p w14:paraId="67DEB459">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（8）</w:t>
            </w:r>
            <w:r>
              <w:rPr>
                <w:rFonts w:hint="eastAsia" w:ascii="宋体" w:hAnsi="宋体" w:eastAsia="宋体" w:cs="宋体"/>
                <w:color w:val="auto"/>
                <w:sz w:val="21"/>
                <w:szCs w:val="21"/>
                <w:highlight w:val="none"/>
                <w:lang w:val="zh-TW"/>
              </w:rPr>
              <w:t>床旁快速查询患者的病历信息，为患者治疗提供参考，</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包括：处方开药查询、首次病程查询、化验检查查询、血压变化查询、患者药库查询、排床查询、排班查询、透前准备查询以及护士交接班查询。</w:t>
            </w:r>
          </w:p>
          <w:p w14:paraId="65611B89">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（9）</w:t>
            </w:r>
            <w:r>
              <w:rPr>
                <w:rFonts w:hint="eastAsia" w:ascii="宋体" w:hAnsi="宋体" w:eastAsia="宋体" w:cs="宋体"/>
                <w:color w:val="auto"/>
                <w:sz w:val="21"/>
                <w:szCs w:val="21"/>
                <w:highlight w:val="none"/>
                <w:lang w:val="zh-TW"/>
              </w:rPr>
              <w:t>医护人员可根据患者的病情和治疗状况，通过移动工作站查看患者的透析方案，也可以通过床旁工作站及时调整患者的透析方案。</w:t>
            </w:r>
          </w:p>
          <w:p w14:paraId="0E94B77E">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（10）</w:t>
            </w:r>
            <w:r>
              <w:rPr>
                <w:rFonts w:hint="eastAsia" w:ascii="宋体" w:hAnsi="宋体" w:eastAsia="宋体" w:cs="宋体"/>
                <w:color w:val="auto"/>
                <w:sz w:val="21"/>
                <w:szCs w:val="21"/>
                <w:highlight w:val="none"/>
                <w:lang w:val="zh-TW"/>
              </w:rPr>
              <w:t>护士能够通过移动工作站根据患者宣教计划为患者进行宣教，为患者普及医疗知识，提高医疗意识，降低医疗事故风险。</w:t>
            </w:r>
          </w:p>
          <w:p w14:paraId="1986DD97">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（11）</w:t>
            </w:r>
            <w:r>
              <w:rPr>
                <w:rFonts w:hint="eastAsia" w:ascii="宋体" w:hAnsi="宋体" w:eastAsia="宋体" w:cs="宋体"/>
                <w:color w:val="auto"/>
                <w:sz w:val="21"/>
                <w:szCs w:val="21"/>
                <w:highlight w:val="none"/>
                <w:lang w:val="zh-TW"/>
              </w:rPr>
              <w:t>对患者的历史记录提供便捷的查找功能，并支持历史记录的修改。</w:t>
            </w:r>
          </w:p>
          <w:p w14:paraId="40D71F04">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（12）</w:t>
            </w:r>
            <w:r>
              <w:rPr>
                <w:rFonts w:hint="eastAsia" w:ascii="宋体" w:hAnsi="宋体" w:eastAsia="宋体" w:cs="宋体"/>
                <w:color w:val="auto"/>
                <w:sz w:val="21"/>
                <w:szCs w:val="21"/>
                <w:highlight w:val="none"/>
                <w:lang w:val="zh-TW"/>
              </w:rPr>
              <w:t>支持多种抗凝剂组合治疗方案，医生能在透析方案中设定多个抗凝剂方案以及各自所持续的时长。</w:t>
            </w:r>
          </w:p>
          <w:p w14:paraId="5721E5CC">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（13）</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当发生不良事件时</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zh-TW"/>
              </w:rPr>
              <w:t>支持提供平板拍照记录现场环境和情况并上传至血透系统保存。</w:t>
            </w:r>
          </w:p>
          <w:p w14:paraId="49C8E8E7">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（14）</w:t>
            </w:r>
            <w:r>
              <w:rPr>
                <w:rFonts w:hint="eastAsia" w:cs="宋体"/>
                <w:color w:val="auto"/>
                <w:kern w:val="0"/>
                <w:sz w:val="21"/>
                <w:szCs w:val="21"/>
                <w:highlight w:val="none"/>
              </w:rPr>
              <w:t>▲</w:t>
            </w:r>
            <w:r>
              <w:rPr>
                <w:rFonts w:hint="eastAsia" w:ascii="宋体" w:hAnsi="宋体" w:eastAsia="宋体" w:cs="宋体"/>
                <w:color w:val="auto"/>
                <w:sz w:val="21"/>
                <w:szCs w:val="21"/>
                <w:highlight w:val="none"/>
                <w:lang w:val="zh-TW"/>
              </w:rPr>
              <w:t>对于评估单和治疗单等需要患者手写签名的医疗单据，支持患者直接通过平板手写签名，系统记录签名图片并关联至相关单据</w:t>
            </w:r>
            <w:r>
              <w:rPr>
                <w:rFonts w:hint="eastAsia" w:cs="宋体"/>
                <w:color w:val="auto"/>
                <w:sz w:val="21"/>
                <w:szCs w:val="21"/>
                <w:highlight w:val="none"/>
                <w:lang w:val="zh-TW" w:eastAsia="zh-CN"/>
              </w:rPr>
              <w:t>；</w:t>
            </w:r>
            <w:r>
              <w:rPr>
                <w:rFonts w:hint="eastAsia" w:ascii="宋体" w:hAnsi="宋体" w:eastAsia="宋体" w:cs="宋体"/>
                <w:color w:val="auto"/>
                <w:sz w:val="21"/>
                <w:szCs w:val="21"/>
                <w:highlight w:val="none"/>
                <w:lang w:val="zh-TW"/>
              </w:rPr>
              <w:t>支持打印患者的手写签名单据。</w:t>
            </w:r>
          </w:p>
          <w:p w14:paraId="34D06597">
            <w:pPr>
              <w:pStyle w:val="60"/>
              <w:keepNext w:val="0"/>
              <w:keepLines w:val="0"/>
              <w:pageBreakBefore w:val="0"/>
              <w:numPr>
                <w:ilvl w:val="0"/>
                <w:numId w:val="0"/>
              </w:numPr>
              <w:kinsoku/>
              <w:wordWrap/>
              <w:overflowPunct/>
              <w:topLinePunct w:val="0"/>
              <w:autoSpaceDE/>
              <w:autoSpaceDN/>
              <w:bidi w:val="0"/>
              <w:adjustRightInd/>
              <w:snapToGrid/>
              <w:spacing w:line="360" w:lineRule="auto"/>
              <w:ind w:left="0" w:firstLineChars="0"/>
              <w:rPr>
                <w:rFonts w:hint="eastAsia" w:ascii="宋体" w:hAnsi="宋体" w:eastAsia="宋体" w:cs="宋体"/>
                <w:color w:val="auto"/>
                <w:sz w:val="21"/>
                <w:szCs w:val="21"/>
                <w:highlight w:val="none"/>
                <w:lang w:val="zh-TW"/>
              </w:rPr>
            </w:pPr>
            <w:r>
              <w:rPr>
                <w:rFonts w:hint="eastAsia" w:cs="宋体"/>
                <w:color w:val="auto"/>
                <w:kern w:val="2"/>
                <w:sz w:val="21"/>
                <w:szCs w:val="21"/>
                <w:highlight w:val="none"/>
                <w:lang w:val="zh-TW" w:eastAsia="zh-CN" w:bidi="zh-CN"/>
              </w:rPr>
              <w:t>（15）</w:t>
            </w:r>
            <w:r>
              <w:rPr>
                <w:rFonts w:hint="eastAsia" w:ascii="宋体" w:hAnsi="宋体" w:eastAsia="宋体" w:cs="宋体"/>
                <w:color w:val="auto"/>
                <w:sz w:val="21"/>
                <w:szCs w:val="21"/>
                <w:highlight w:val="none"/>
                <w:lang w:val="zh-TW"/>
              </w:rPr>
              <w:t>支持拍摄患者的血管通路情况照片并支持标注血管通路穿刺点位图。</w:t>
            </w:r>
          </w:p>
          <w:p w14:paraId="7EE61761">
            <w:pPr>
              <w:pStyle w:val="60"/>
              <w:keepNext w:val="0"/>
              <w:keepLines w:val="0"/>
              <w:pageBreakBefore w:val="0"/>
              <w:numPr>
                <w:ilvl w:val="-1"/>
                <w:numId w:val="0"/>
              </w:numPr>
              <w:kinsoku/>
              <w:wordWrap/>
              <w:overflowPunct/>
              <w:topLinePunct w:val="0"/>
              <w:autoSpaceDE/>
              <w:autoSpaceDN/>
              <w:bidi w:val="0"/>
              <w:adjustRightInd/>
              <w:snapToGrid/>
              <w:spacing w:line="360" w:lineRule="auto"/>
              <w:ind w:left="0" w:firstLine="0"/>
              <w:rPr>
                <w:rFonts w:cs="等线"/>
                <w:color w:val="auto"/>
                <w:kern w:val="0"/>
                <w:sz w:val="22"/>
                <w:highlight w:val="none"/>
              </w:rPr>
            </w:pPr>
            <w:r>
              <w:rPr>
                <w:rFonts w:hint="eastAsia" w:ascii="宋体" w:hAnsi="宋体" w:eastAsia="宋体" w:cs="宋体"/>
                <w:color w:val="auto"/>
                <w:sz w:val="21"/>
                <w:szCs w:val="21"/>
                <w:highlight w:val="none"/>
                <w:lang w:val="zh-TW"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val="zh-TW" w:eastAsia="zh-CN"/>
              </w:rPr>
              <w:t>）</w:t>
            </w:r>
            <w:r>
              <w:rPr>
                <w:rFonts w:hint="eastAsia" w:ascii="宋体" w:hAnsi="宋体" w:eastAsia="宋体" w:cs="宋体"/>
                <w:color w:val="auto"/>
                <w:sz w:val="21"/>
                <w:szCs w:val="21"/>
                <w:highlight w:val="none"/>
                <w:lang w:val="zh-TW"/>
              </w:rPr>
              <w:t>支持医护人员通过平板电脑呼叫等候区的患者家属进入透析室，支持可配置的呼叫类别和呼叫内容。</w:t>
            </w:r>
          </w:p>
        </w:tc>
      </w:tr>
    </w:tbl>
    <w:p w14:paraId="2D046251">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44" w:name="_Toc10843"/>
      <w:r>
        <w:rPr>
          <w:rStyle w:val="39"/>
          <w:rFonts w:hint="eastAsia" w:ascii="宋体" w:hAnsi="宋体" w:eastAsia="宋体" w:cs="宋体"/>
          <w:b/>
          <w:bCs/>
          <w:color w:val="auto"/>
          <w:sz w:val="24"/>
          <w:szCs w:val="24"/>
          <w:highlight w:val="none"/>
        </w:rPr>
        <w:t>第六章  单一来源响应</w:t>
      </w:r>
      <w:bookmarkEnd w:id="35"/>
      <w:bookmarkEnd w:id="36"/>
      <w:r>
        <w:rPr>
          <w:rStyle w:val="39"/>
          <w:rFonts w:hint="eastAsia" w:ascii="宋体" w:hAnsi="宋体" w:eastAsia="宋体" w:cs="宋体"/>
          <w:b/>
          <w:bCs/>
          <w:color w:val="auto"/>
          <w:sz w:val="24"/>
          <w:szCs w:val="24"/>
          <w:highlight w:val="none"/>
        </w:rPr>
        <w:t>文件</w:t>
      </w:r>
      <w:bookmarkEnd w:id="43"/>
      <w:bookmarkEnd w:id="44"/>
    </w:p>
    <w:p w14:paraId="01EBFB01">
      <w:pPr>
        <w:rPr>
          <w:rFonts w:asciiTheme="minorEastAsia" w:hAnsiTheme="minorEastAsia" w:eastAsiaTheme="minorEastAsia" w:cstheme="minorEastAsia"/>
          <w:color w:val="auto"/>
          <w:sz w:val="24"/>
          <w:highlight w:val="none"/>
        </w:rPr>
      </w:pPr>
    </w:p>
    <w:p w14:paraId="541E886E">
      <w:pPr>
        <w:jc w:val="center"/>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 xml:space="preserve">                                                         正本/副本</w:t>
      </w:r>
    </w:p>
    <w:p w14:paraId="39B17D30">
      <w:pPr>
        <w:rPr>
          <w:rFonts w:asciiTheme="minorEastAsia" w:hAnsiTheme="minorEastAsia" w:eastAsiaTheme="minorEastAsia" w:cstheme="minorEastAsia"/>
          <w:b/>
          <w:color w:val="auto"/>
          <w:sz w:val="24"/>
          <w:highlight w:val="none"/>
        </w:rPr>
      </w:pPr>
    </w:p>
    <w:p w14:paraId="0525903B">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单一来源响应文件</w:t>
      </w:r>
    </w:p>
    <w:p w14:paraId="7F420412">
      <w:pPr>
        <w:spacing w:before="156" w:beforeLines="50" w:after="156" w:afterLines="50"/>
        <w:jc w:val="center"/>
        <w:rPr>
          <w:rFonts w:asciiTheme="minorEastAsia" w:hAnsiTheme="minorEastAsia" w:eastAsiaTheme="minorEastAsia" w:cstheme="minorEastAsia"/>
          <w:color w:val="auto"/>
          <w:sz w:val="24"/>
          <w:highlight w:val="none"/>
        </w:rPr>
      </w:pPr>
    </w:p>
    <w:p w14:paraId="086C5BFE">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（封面）</w:t>
      </w:r>
    </w:p>
    <w:p w14:paraId="04D32E0B">
      <w:pPr>
        <w:jc w:val="center"/>
        <w:rPr>
          <w:rFonts w:asciiTheme="minorEastAsia" w:hAnsiTheme="minorEastAsia" w:eastAsiaTheme="minorEastAsia" w:cstheme="minorEastAsia"/>
          <w:color w:val="auto"/>
          <w:sz w:val="24"/>
          <w:highlight w:val="none"/>
        </w:rPr>
      </w:pPr>
    </w:p>
    <w:p w14:paraId="5445226B">
      <w:pPr>
        <w:jc w:val="center"/>
        <w:rPr>
          <w:rFonts w:asciiTheme="minorEastAsia" w:hAnsiTheme="minorEastAsia" w:eastAsiaTheme="minorEastAsia" w:cstheme="minorEastAsia"/>
          <w:color w:val="auto"/>
          <w:sz w:val="24"/>
          <w:highlight w:val="none"/>
        </w:rPr>
      </w:pPr>
    </w:p>
    <w:p w14:paraId="399070E6">
      <w:pPr>
        <w:jc w:val="center"/>
        <w:rPr>
          <w:rFonts w:asciiTheme="minorEastAsia" w:hAnsiTheme="minorEastAsia" w:eastAsiaTheme="minorEastAsia" w:cstheme="minorEastAsia"/>
          <w:color w:val="auto"/>
          <w:sz w:val="24"/>
          <w:highlight w:val="none"/>
        </w:rPr>
      </w:pPr>
    </w:p>
    <w:p w14:paraId="5932C21F">
      <w:pPr>
        <w:rPr>
          <w:rFonts w:asciiTheme="minorEastAsia" w:hAnsiTheme="minorEastAsia" w:eastAsiaTheme="minorEastAsia" w:cstheme="minorEastAsia"/>
          <w:color w:val="auto"/>
          <w:sz w:val="24"/>
          <w:highlight w:val="none"/>
        </w:rPr>
      </w:pPr>
    </w:p>
    <w:p w14:paraId="47F5D38A">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p w14:paraId="33805B79">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14:paraId="3C47C10A">
      <w:pPr>
        <w:jc w:val="center"/>
        <w:rPr>
          <w:rFonts w:asciiTheme="minorEastAsia" w:hAnsiTheme="minorEastAsia" w:eastAsiaTheme="minorEastAsia" w:cstheme="minorEastAsia"/>
          <w:color w:val="auto"/>
          <w:sz w:val="24"/>
          <w:highlight w:val="none"/>
        </w:rPr>
      </w:pPr>
    </w:p>
    <w:p w14:paraId="756AFA4B">
      <w:pPr>
        <w:jc w:val="center"/>
        <w:rPr>
          <w:rFonts w:asciiTheme="minorEastAsia" w:hAnsiTheme="minorEastAsia" w:eastAsiaTheme="minorEastAsia" w:cstheme="minorEastAsia"/>
          <w:color w:val="auto"/>
          <w:sz w:val="24"/>
          <w:highlight w:val="none"/>
        </w:rPr>
      </w:pPr>
    </w:p>
    <w:p w14:paraId="28FDDB88">
      <w:pPr>
        <w:jc w:val="center"/>
        <w:rPr>
          <w:rFonts w:asciiTheme="minorEastAsia" w:hAnsiTheme="minorEastAsia" w:eastAsiaTheme="minorEastAsia" w:cstheme="minorEastAsia"/>
          <w:color w:val="auto"/>
          <w:sz w:val="24"/>
          <w:highlight w:val="none"/>
        </w:rPr>
      </w:pPr>
    </w:p>
    <w:p w14:paraId="096976FA">
      <w:pPr>
        <w:jc w:val="center"/>
        <w:rPr>
          <w:rFonts w:asciiTheme="minorEastAsia" w:hAnsiTheme="minorEastAsia" w:eastAsiaTheme="minorEastAsia" w:cstheme="minorEastAsia"/>
          <w:color w:val="auto"/>
          <w:sz w:val="24"/>
          <w:highlight w:val="none"/>
        </w:rPr>
      </w:pPr>
    </w:p>
    <w:p w14:paraId="24F50A0D">
      <w:pPr>
        <w:jc w:val="center"/>
        <w:rPr>
          <w:rFonts w:asciiTheme="minorEastAsia" w:hAnsiTheme="minorEastAsia" w:eastAsiaTheme="minorEastAsia" w:cstheme="minorEastAsia"/>
          <w:color w:val="auto"/>
          <w:sz w:val="24"/>
          <w:highlight w:val="none"/>
        </w:rPr>
      </w:pPr>
    </w:p>
    <w:p w14:paraId="618F4134">
      <w:pPr>
        <w:jc w:val="center"/>
        <w:rPr>
          <w:rFonts w:asciiTheme="minorEastAsia" w:hAnsiTheme="minorEastAsia" w:eastAsiaTheme="minorEastAsia" w:cstheme="minorEastAsia"/>
          <w:color w:val="auto"/>
          <w:sz w:val="24"/>
          <w:highlight w:val="none"/>
        </w:rPr>
      </w:pPr>
    </w:p>
    <w:p w14:paraId="0F3DCF49">
      <w:pPr>
        <w:jc w:val="center"/>
        <w:rPr>
          <w:rFonts w:asciiTheme="minorEastAsia" w:hAnsiTheme="minorEastAsia" w:eastAsiaTheme="minorEastAsia" w:cstheme="minorEastAsia"/>
          <w:color w:val="auto"/>
          <w:sz w:val="24"/>
          <w:highlight w:val="none"/>
        </w:rPr>
      </w:pPr>
    </w:p>
    <w:p w14:paraId="3903B5A0">
      <w:pPr>
        <w:jc w:val="center"/>
        <w:rPr>
          <w:rFonts w:asciiTheme="minorEastAsia" w:hAnsiTheme="minorEastAsia" w:eastAsiaTheme="minorEastAsia" w:cstheme="minorEastAsia"/>
          <w:color w:val="auto"/>
          <w:sz w:val="24"/>
          <w:highlight w:val="none"/>
        </w:rPr>
      </w:pPr>
    </w:p>
    <w:p w14:paraId="41A01D05">
      <w:pPr>
        <w:jc w:val="center"/>
        <w:rPr>
          <w:rFonts w:asciiTheme="minorEastAsia" w:hAnsiTheme="minorEastAsia" w:eastAsiaTheme="minorEastAsia" w:cstheme="minorEastAsia"/>
          <w:color w:val="auto"/>
          <w:sz w:val="24"/>
          <w:highlight w:val="none"/>
        </w:rPr>
      </w:pPr>
    </w:p>
    <w:p w14:paraId="2C472022">
      <w:pPr>
        <w:jc w:val="center"/>
        <w:rPr>
          <w:rFonts w:asciiTheme="minorEastAsia" w:hAnsiTheme="minorEastAsia" w:eastAsiaTheme="minorEastAsia" w:cstheme="minorEastAsia"/>
          <w:color w:val="auto"/>
          <w:sz w:val="24"/>
          <w:highlight w:val="none"/>
        </w:rPr>
      </w:pPr>
    </w:p>
    <w:p w14:paraId="30905A87">
      <w:pPr>
        <w:jc w:val="center"/>
        <w:rPr>
          <w:rFonts w:asciiTheme="minorEastAsia" w:hAnsiTheme="minorEastAsia" w:eastAsiaTheme="minorEastAsia" w:cstheme="minorEastAsia"/>
          <w:color w:val="auto"/>
          <w:sz w:val="24"/>
          <w:highlight w:val="none"/>
        </w:rPr>
      </w:pPr>
    </w:p>
    <w:p w14:paraId="0B2D6D0F">
      <w:pPr>
        <w:jc w:val="center"/>
        <w:rPr>
          <w:rFonts w:asciiTheme="minorEastAsia" w:hAnsiTheme="minorEastAsia" w:eastAsiaTheme="minorEastAsia" w:cstheme="minorEastAsia"/>
          <w:color w:val="auto"/>
          <w:sz w:val="24"/>
          <w:highlight w:val="none"/>
        </w:rPr>
      </w:pPr>
    </w:p>
    <w:p w14:paraId="6E8746EE">
      <w:pPr>
        <w:ind w:firstLine="2100" w:firstLineChars="875"/>
        <w:jc w:val="left"/>
        <w:rPr>
          <w:rFonts w:asciiTheme="minorEastAsia" w:hAnsiTheme="minorEastAsia" w:eastAsiaTheme="minorEastAsia" w:cstheme="minorEastAsia"/>
          <w:color w:val="auto"/>
          <w:sz w:val="24"/>
          <w:highlight w:val="none"/>
        </w:rPr>
      </w:pPr>
    </w:p>
    <w:p w14:paraId="2127A22B">
      <w:pPr>
        <w:ind w:firstLine="2280" w:firstLineChars="950"/>
        <w:rPr>
          <w:rFonts w:asciiTheme="minorEastAsia" w:hAnsiTheme="minorEastAsia" w:eastAsiaTheme="minorEastAsia" w:cstheme="minorEastAsia"/>
          <w:color w:val="auto"/>
          <w:sz w:val="24"/>
          <w:highlight w:val="none"/>
        </w:rPr>
      </w:pPr>
    </w:p>
    <w:p w14:paraId="66AEEA98">
      <w:pPr>
        <w:ind w:firstLine="1440" w:firstLineChars="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                    </w:t>
      </w:r>
    </w:p>
    <w:p w14:paraId="1AEB12B1">
      <w:pPr>
        <w:ind w:firstLine="1440" w:firstLineChars="600"/>
        <w:rPr>
          <w:rFonts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color w:val="auto"/>
          <w:sz w:val="24"/>
          <w:highlight w:val="none"/>
          <w:lang w:val="en-US" w:eastAsia="zh-CN"/>
        </w:rPr>
        <w:t>盖</w:t>
      </w:r>
      <w:r>
        <w:rPr>
          <w:rFonts w:hint="eastAsia" w:asciiTheme="minorEastAsia" w:hAnsiTheme="minorEastAsia" w:eastAsiaTheme="minorEastAsia" w:cstheme="minorEastAsia"/>
          <w:color w:val="auto"/>
          <w:sz w:val="24"/>
          <w:highlight w:val="none"/>
        </w:rPr>
        <w:t xml:space="preserve">  章：</w:t>
      </w:r>
    </w:p>
    <w:p w14:paraId="22B1861B">
      <w:pPr>
        <w:ind w:firstLine="3240" w:firstLineChars="1350"/>
        <w:rPr>
          <w:rFonts w:asciiTheme="minorEastAsia" w:hAnsiTheme="minorEastAsia" w:eastAsiaTheme="minorEastAsia" w:cstheme="minorEastAsia"/>
          <w:color w:val="auto"/>
          <w:sz w:val="24"/>
          <w:highlight w:val="none"/>
        </w:rPr>
      </w:pPr>
    </w:p>
    <w:p w14:paraId="37DF5A6A">
      <w:pPr>
        <w:ind w:firstLine="3240" w:firstLineChars="1350"/>
        <w:rPr>
          <w:rFonts w:asciiTheme="minorEastAsia" w:hAnsiTheme="minorEastAsia" w:eastAsiaTheme="minorEastAsia" w:cstheme="minorEastAsia"/>
          <w:color w:val="auto"/>
          <w:sz w:val="24"/>
          <w:highlight w:val="none"/>
          <w:u w:val="single"/>
        </w:rPr>
      </w:pPr>
    </w:p>
    <w:p w14:paraId="14B279A4">
      <w:pPr>
        <w:ind w:firstLine="3240" w:firstLineChars="1350"/>
        <w:rPr>
          <w:rFonts w:ascii="宋体" w:hAnsi="宋体" w:cs="宋体"/>
          <w:color w:val="auto"/>
          <w:sz w:val="24"/>
          <w:highlight w:val="none"/>
          <w:u w:val="single"/>
        </w:rPr>
      </w:pPr>
    </w:p>
    <w:p w14:paraId="42845675">
      <w:pPr>
        <w:ind w:firstLine="3240" w:firstLineChars="135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4D7BBD1">
      <w:pPr>
        <w:pStyle w:val="36"/>
        <w:spacing w:before="156" w:beforeLines="50" w:after="156" w:afterLines="50" w:line="560" w:lineRule="exact"/>
        <w:ind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45" w:name="_Toc272163838"/>
      <w:bookmarkStart w:id="46" w:name="_Toc26899"/>
      <w:bookmarkStart w:id="47" w:name="_Hlk450146465"/>
      <w:bookmarkStart w:id="48" w:name="_Toc18671564"/>
      <w:bookmarkStart w:id="49" w:name="_Toc533314956"/>
      <w:bookmarkStart w:id="50" w:name="_Toc16350"/>
      <w:r>
        <w:rPr>
          <w:rStyle w:val="39"/>
          <w:rFonts w:hint="eastAsia" w:ascii="宋体" w:hAnsi="宋体" w:eastAsia="宋体" w:cs="宋体"/>
          <w:b/>
          <w:color w:val="auto"/>
          <w:sz w:val="24"/>
          <w:szCs w:val="24"/>
          <w:highlight w:val="none"/>
        </w:rPr>
        <w:t>一、响应函格式</w:t>
      </w:r>
      <w:bookmarkEnd w:id="45"/>
      <w:bookmarkEnd w:id="46"/>
      <w:bookmarkEnd w:id="47"/>
      <w:bookmarkEnd w:id="48"/>
      <w:bookmarkEnd w:id="49"/>
      <w:bookmarkEnd w:id="50"/>
    </w:p>
    <w:p w14:paraId="70353258">
      <w:pPr>
        <w:spacing w:before="156" w:beforeLines="50" w:after="156" w:afterLines="50" w:line="5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致：</w:t>
      </w:r>
      <w:r>
        <w:rPr>
          <w:rFonts w:hint="eastAsia" w:asciiTheme="minorEastAsia" w:hAnsiTheme="minorEastAsia" w:eastAsiaTheme="minorEastAsia" w:cstheme="minorEastAsia"/>
          <w:b/>
          <w:color w:val="auto"/>
          <w:sz w:val="24"/>
          <w:highlight w:val="none"/>
          <w:u w:val="single"/>
        </w:rPr>
        <w:t>（采购人的名称）</w:t>
      </w:r>
    </w:p>
    <w:p w14:paraId="16C6F698">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1、根据贵方</w:t>
      </w:r>
      <w:r>
        <w:rPr>
          <w:rFonts w:hint="eastAsia" w:asciiTheme="minorEastAsia" w:hAnsiTheme="minorEastAsia" w:eastAsiaTheme="minorEastAsia" w:cstheme="minorEastAsia"/>
          <w:color w:val="auto"/>
          <w:sz w:val="24"/>
          <w:highlight w:val="none"/>
          <w:u w:val="single"/>
        </w:rPr>
        <w:t xml:space="preserve"> （项目编号） </w:t>
      </w:r>
      <w:r>
        <w:rPr>
          <w:rFonts w:hint="eastAsia" w:asciiTheme="minorEastAsia" w:hAnsiTheme="minorEastAsia" w:eastAsiaTheme="minorEastAsia" w:cstheme="minorEastAsia"/>
          <w:color w:val="auto"/>
          <w:sz w:val="24"/>
          <w:highlight w:val="none"/>
        </w:rPr>
        <w:t>单一来源文件，我们决定参加贵方组织的</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的采购活动。我方授权</w:t>
      </w:r>
      <w:r>
        <w:rPr>
          <w:rFonts w:hint="eastAsia" w:asciiTheme="minorEastAsia" w:hAnsiTheme="minorEastAsia" w:eastAsiaTheme="minorEastAsia" w:cstheme="minorEastAsia"/>
          <w:color w:val="auto"/>
          <w:sz w:val="24"/>
          <w:highlight w:val="none"/>
          <w:u w:val="single"/>
        </w:rPr>
        <w:t xml:space="preserve">  (姓名和职务)  </w:t>
      </w:r>
      <w:r>
        <w:rPr>
          <w:rFonts w:hint="eastAsia" w:asciiTheme="minorEastAsia" w:hAnsiTheme="minorEastAsia" w:eastAsiaTheme="minorEastAsia" w:cstheme="minorEastAsia"/>
          <w:color w:val="auto"/>
          <w:sz w:val="24"/>
          <w:highlight w:val="none"/>
        </w:rPr>
        <w:t>代表我方</w:t>
      </w:r>
      <w:r>
        <w:rPr>
          <w:rFonts w:hint="eastAsia" w:asciiTheme="minorEastAsia" w:hAnsiTheme="minorEastAsia" w:eastAsiaTheme="minorEastAsia" w:cstheme="minorEastAsia"/>
          <w:color w:val="auto"/>
          <w:sz w:val="24"/>
          <w:highlight w:val="none"/>
          <w:u w:val="single"/>
        </w:rPr>
        <w:t xml:space="preserve"> （供应商全称） </w:t>
      </w:r>
      <w:r>
        <w:rPr>
          <w:rFonts w:hint="eastAsia" w:asciiTheme="minorEastAsia" w:hAnsiTheme="minorEastAsia" w:eastAsiaTheme="minorEastAsia" w:cstheme="minorEastAsia"/>
          <w:color w:val="auto"/>
          <w:sz w:val="24"/>
          <w:highlight w:val="none"/>
        </w:rPr>
        <w:t>全权处理本项目的有关事宜。</w:t>
      </w:r>
    </w:p>
    <w:p w14:paraId="4CDE89E3">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2、我方愿意按照单一来源文件规定的各项要求，向采购人提供所需的服务。</w:t>
      </w:r>
    </w:p>
    <w:p w14:paraId="1E0347FC">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3、一旦确定我方成交，我方将严格履行合同规定的责任和义务，保证于合同签字生效后按时完成服务内容并交付采购人验收、使用。</w:t>
      </w:r>
    </w:p>
    <w:p w14:paraId="4865FEB5">
      <w:pPr>
        <w:tabs>
          <w:tab w:val="left" w:pos="840"/>
        </w:tabs>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4、我方愿意提供贵方可能另外要求的、与协商有关的文件资料，并保证我方已提供和将要提供的文件是真实的、准确的。</w:t>
      </w:r>
    </w:p>
    <w:p w14:paraId="33716252">
      <w:pPr>
        <w:spacing w:line="500" w:lineRule="exact"/>
        <w:jc w:val="left"/>
        <w:rPr>
          <w:rFonts w:asciiTheme="minorEastAsia" w:hAnsiTheme="minorEastAsia" w:eastAsiaTheme="minorEastAsia" w:cstheme="minorEastAsia"/>
          <w:color w:val="auto"/>
          <w:sz w:val="24"/>
          <w:highlight w:val="none"/>
        </w:rPr>
      </w:pPr>
    </w:p>
    <w:p w14:paraId="17ADC50C">
      <w:pPr>
        <w:spacing w:line="500" w:lineRule="exact"/>
        <w:jc w:val="left"/>
        <w:rPr>
          <w:rFonts w:asciiTheme="minorEastAsia" w:hAnsiTheme="minorEastAsia" w:eastAsiaTheme="minorEastAsia" w:cstheme="minorEastAsia"/>
          <w:color w:val="auto"/>
          <w:sz w:val="24"/>
          <w:highlight w:val="none"/>
        </w:rPr>
      </w:pPr>
    </w:p>
    <w:p w14:paraId="702BCD2C">
      <w:pPr>
        <w:spacing w:line="500" w:lineRule="exact"/>
        <w:jc w:val="left"/>
        <w:rPr>
          <w:rFonts w:asciiTheme="minorEastAsia" w:hAnsiTheme="minorEastAsia" w:eastAsiaTheme="minorEastAsia" w:cstheme="minorEastAsia"/>
          <w:color w:val="auto"/>
          <w:sz w:val="24"/>
          <w:highlight w:val="none"/>
        </w:rPr>
      </w:pPr>
    </w:p>
    <w:p w14:paraId="13BAAF55">
      <w:pPr>
        <w:spacing w:line="500" w:lineRule="exact"/>
        <w:jc w:val="left"/>
        <w:rPr>
          <w:rFonts w:asciiTheme="minorEastAsia" w:hAnsiTheme="minorEastAsia" w:eastAsiaTheme="minorEastAsia" w:cstheme="minorEastAsia"/>
          <w:color w:val="auto"/>
          <w:sz w:val="24"/>
          <w:highlight w:val="none"/>
        </w:rPr>
      </w:pPr>
    </w:p>
    <w:p w14:paraId="71D544EB">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供应商：（签章）</w:t>
      </w:r>
    </w:p>
    <w:p w14:paraId="09F0322D">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6DDD3E26">
      <w:pPr>
        <w:pStyle w:val="35"/>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7F55FE6A">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14:paraId="5C905422">
      <w:pPr>
        <w:pStyle w:val="36"/>
        <w:spacing w:line="500" w:lineRule="exact"/>
        <w:ind w:firstLine="3123" w:firstLineChars="12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51" w:name="_Toc2979"/>
    </w:p>
    <w:p w14:paraId="2CE6A728">
      <w:pPr>
        <w:pStyle w:val="3"/>
        <w:spacing w:before="156" w:beforeLines="50" w:after="156" w:afterLines="50" w:line="560" w:lineRule="exact"/>
        <w:jc w:val="center"/>
        <w:rPr>
          <w:rFonts w:ascii="宋体" w:hAnsi="宋体" w:eastAsia="宋体" w:cs="宋体"/>
          <w:color w:val="auto"/>
          <w:sz w:val="24"/>
          <w:szCs w:val="24"/>
          <w:highlight w:val="none"/>
        </w:rPr>
      </w:pPr>
      <w:bookmarkStart w:id="52" w:name="_Toc14608"/>
      <w:bookmarkStart w:id="53" w:name="_Toc18671565"/>
      <w:bookmarkStart w:id="54" w:name="_Toc26364"/>
      <w:r>
        <w:rPr>
          <w:rFonts w:hint="eastAsia" w:ascii="宋体" w:hAnsi="宋体" w:eastAsia="宋体" w:cs="宋体"/>
          <w:color w:val="auto"/>
          <w:sz w:val="24"/>
          <w:szCs w:val="24"/>
          <w:highlight w:val="none"/>
        </w:rPr>
        <w:t>二、响应一览表</w:t>
      </w:r>
      <w:bookmarkEnd w:id="51"/>
      <w:bookmarkEnd w:id="52"/>
      <w:bookmarkEnd w:id="53"/>
      <w:bookmarkEnd w:id="54"/>
    </w:p>
    <w:p w14:paraId="576C94CB">
      <w:pPr>
        <w:pStyle w:val="36"/>
        <w:ind w:firstLine="0" w:firstLineChars="0"/>
        <w:rPr>
          <w:rFonts w:asciiTheme="minorEastAsia" w:hAnsiTheme="minorEastAsia" w:eastAsiaTheme="minorEastAsia" w:cstheme="minorEastAsia"/>
          <w:color w:val="auto"/>
          <w:sz w:val="24"/>
          <w:highlight w:val="none"/>
        </w:rPr>
      </w:pPr>
    </w:p>
    <w:tbl>
      <w:tblPr>
        <w:tblStyle w:val="1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BA9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7941BE0E">
            <w:pPr>
              <w:widowControl/>
              <w:spacing w:line="360" w:lineRule="exact"/>
              <w:jc w:val="center"/>
              <w:rPr>
                <w:rFonts w:asciiTheme="minorEastAsia" w:hAnsiTheme="minorEastAsia" w:eastAsiaTheme="minorEastAsia" w:cstheme="minorEastAsia"/>
                <w:b/>
                <w:color w:val="auto"/>
                <w:sz w:val="24"/>
                <w:highlight w:val="none"/>
              </w:rPr>
            </w:pPr>
            <w:bookmarkStart w:id="55" w:name="_Hlk450185766"/>
            <w:bookmarkStart w:id="56" w:name="_Toc293560332"/>
            <w:bookmarkStart w:id="57" w:name="_Toc272141475"/>
            <w:r>
              <w:rPr>
                <w:rFonts w:hint="eastAsia" w:asciiTheme="minorEastAsia" w:hAnsiTheme="minorEastAsia" w:eastAsiaTheme="minorEastAsia" w:cstheme="minorEastAsia"/>
                <w:b/>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47868CAC">
            <w:pPr>
              <w:spacing w:line="360" w:lineRule="exact"/>
              <w:rPr>
                <w:rFonts w:asciiTheme="minorEastAsia" w:hAnsiTheme="minorEastAsia" w:eastAsiaTheme="minorEastAsia" w:cstheme="minorEastAsia"/>
                <w:bCs/>
                <w:color w:val="auto"/>
                <w:sz w:val="24"/>
                <w:highlight w:val="none"/>
                <w:u w:val="single"/>
              </w:rPr>
            </w:pPr>
          </w:p>
        </w:tc>
      </w:tr>
      <w:tr w14:paraId="475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2962079">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项目编号</w:t>
            </w:r>
          </w:p>
        </w:tc>
        <w:tc>
          <w:tcPr>
            <w:tcW w:w="6667" w:type="dxa"/>
            <w:tcBorders>
              <w:top w:val="nil"/>
            </w:tcBorders>
            <w:vAlign w:val="center"/>
          </w:tcPr>
          <w:p w14:paraId="7C971F41">
            <w:pPr>
              <w:rPr>
                <w:rFonts w:asciiTheme="minorEastAsia" w:hAnsiTheme="minorEastAsia" w:eastAsiaTheme="minorEastAsia" w:cstheme="minorEastAsia"/>
                <w:bCs/>
                <w:color w:val="auto"/>
                <w:sz w:val="24"/>
                <w:highlight w:val="none"/>
              </w:rPr>
            </w:pPr>
          </w:p>
        </w:tc>
      </w:tr>
      <w:tr w14:paraId="66A8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1DAA431">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响应供应商全称</w:t>
            </w:r>
          </w:p>
        </w:tc>
        <w:tc>
          <w:tcPr>
            <w:tcW w:w="6667" w:type="dxa"/>
            <w:tcBorders>
              <w:top w:val="nil"/>
            </w:tcBorders>
            <w:vAlign w:val="center"/>
          </w:tcPr>
          <w:p w14:paraId="380FA52A">
            <w:pPr>
              <w:spacing w:line="360" w:lineRule="auto"/>
              <w:rPr>
                <w:rFonts w:asciiTheme="minorEastAsia" w:hAnsiTheme="minorEastAsia" w:eastAsiaTheme="minorEastAsia" w:cstheme="minorEastAsia"/>
                <w:bCs/>
                <w:color w:val="auto"/>
                <w:sz w:val="24"/>
                <w:highlight w:val="none"/>
              </w:rPr>
            </w:pPr>
          </w:p>
        </w:tc>
      </w:tr>
      <w:tr w14:paraId="6F16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321C69B">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响应范围</w:t>
            </w:r>
          </w:p>
        </w:tc>
        <w:tc>
          <w:tcPr>
            <w:tcW w:w="6667" w:type="dxa"/>
            <w:tcBorders>
              <w:top w:val="nil"/>
            </w:tcBorders>
            <w:vAlign w:val="center"/>
          </w:tcPr>
          <w:p w14:paraId="02C1402E">
            <w:pPr>
              <w:widowControl/>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包(不分包项目填写“全部”)</w:t>
            </w:r>
          </w:p>
        </w:tc>
      </w:tr>
      <w:tr w14:paraId="507C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restart"/>
            <w:tcBorders>
              <w:top w:val="nil"/>
            </w:tcBorders>
            <w:vAlign w:val="center"/>
          </w:tcPr>
          <w:p w14:paraId="502CC39E">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响应报价</w:t>
            </w:r>
          </w:p>
          <w:p w14:paraId="590B15B6">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（人民币）</w:t>
            </w:r>
          </w:p>
          <w:p w14:paraId="633C106E">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291ACFC3">
            <w:pPr>
              <w:spacing w:line="360" w:lineRule="auto"/>
              <w:ind w:right="-670"/>
              <w:rPr>
                <w:rFonts w:asciiTheme="minorEastAsia" w:hAnsiTheme="minorEastAsia" w:eastAsiaTheme="minorEastAsia" w:cstheme="minorEastAsia"/>
                <w:bCs/>
                <w:color w:val="auto"/>
                <w:sz w:val="24"/>
                <w:highlight w:val="none"/>
              </w:rPr>
            </w:pPr>
          </w:p>
          <w:p w14:paraId="3AEDAEBC">
            <w:pPr>
              <w:spacing w:line="360" w:lineRule="auto"/>
              <w:ind w:right="-67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大写：</w:t>
            </w:r>
            <w:r>
              <w:rPr>
                <w:rFonts w:hint="eastAsia" w:asciiTheme="minorEastAsia" w:hAnsiTheme="minorEastAsia" w:eastAsiaTheme="minorEastAsia" w:cstheme="minorEastAsia"/>
                <w:bCs/>
                <w:color w:val="auto"/>
                <w:sz w:val="24"/>
                <w:highlight w:val="none"/>
                <w:u w:val="single"/>
              </w:rPr>
              <w:t xml:space="preserve">        </w:t>
            </w:r>
          </w:p>
        </w:tc>
      </w:tr>
      <w:tr w14:paraId="129D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continue"/>
            <w:vAlign w:val="center"/>
          </w:tcPr>
          <w:p w14:paraId="632B8219">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1340EAB6">
            <w:pPr>
              <w:spacing w:line="360" w:lineRule="auto"/>
              <w:ind w:right="-670"/>
              <w:rPr>
                <w:rFonts w:asciiTheme="minorEastAsia" w:hAnsiTheme="minorEastAsia" w:eastAsiaTheme="minorEastAsia" w:cstheme="minorEastAsia"/>
                <w:bCs/>
                <w:color w:val="auto"/>
                <w:sz w:val="24"/>
                <w:highlight w:val="none"/>
              </w:rPr>
            </w:pPr>
          </w:p>
          <w:p w14:paraId="4A94A796">
            <w:pPr>
              <w:spacing w:line="360" w:lineRule="auto"/>
              <w:ind w:right="-67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小写：</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（元/%）</w:t>
            </w:r>
          </w:p>
          <w:p w14:paraId="49AB09E8">
            <w:pPr>
              <w:spacing w:line="360" w:lineRule="auto"/>
              <w:ind w:right="-670"/>
              <w:rPr>
                <w:rFonts w:asciiTheme="minorEastAsia" w:hAnsiTheme="minorEastAsia" w:eastAsiaTheme="minorEastAsia" w:cstheme="minorEastAsia"/>
                <w:bCs/>
                <w:color w:val="auto"/>
                <w:sz w:val="24"/>
                <w:highlight w:val="none"/>
              </w:rPr>
            </w:pPr>
          </w:p>
        </w:tc>
      </w:tr>
      <w:tr w14:paraId="4F22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6B6C7EBE">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c>
          <w:tcPr>
            <w:tcW w:w="6667" w:type="dxa"/>
            <w:tcBorders>
              <w:top w:val="nil"/>
            </w:tcBorders>
            <w:vAlign w:val="center"/>
          </w:tcPr>
          <w:p w14:paraId="04556268">
            <w:pPr>
              <w:spacing w:line="360" w:lineRule="auto"/>
              <w:jc w:val="left"/>
              <w:rPr>
                <w:rFonts w:asciiTheme="minorEastAsia" w:hAnsiTheme="minorEastAsia" w:eastAsiaTheme="minorEastAsia" w:cstheme="minorEastAsia"/>
                <w:bCs/>
                <w:color w:val="auto"/>
                <w:sz w:val="24"/>
                <w:highlight w:val="none"/>
              </w:rPr>
            </w:pPr>
          </w:p>
        </w:tc>
      </w:tr>
    </w:tbl>
    <w:p w14:paraId="31CAA37C">
      <w:pPr>
        <w:spacing w:before="100" w:beforeAutospacing="1" w:after="100" w:afterAutospacing="1" w:line="360" w:lineRule="auto"/>
        <w:rPr>
          <w:rFonts w:asciiTheme="minorEastAsia" w:hAnsiTheme="minorEastAsia" w:eastAsiaTheme="minorEastAsia" w:cstheme="minorEastAsia"/>
          <w:b/>
          <w:color w:val="auto"/>
          <w:sz w:val="24"/>
          <w:highlight w:val="none"/>
        </w:rPr>
      </w:pPr>
    </w:p>
    <w:p w14:paraId="70423634">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响应供应商</w:t>
      </w:r>
      <w:r>
        <w:rPr>
          <w:rFonts w:hint="eastAsia" w:asciiTheme="minorEastAsia" w:hAnsiTheme="minorEastAsia" w:eastAsiaTheme="minorEastAsia" w:cstheme="minorEastAsia"/>
          <w:b/>
          <w:color w:val="auto"/>
          <w:sz w:val="24"/>
          <w:highlight w:val="none"/>
          <w:lang w:val="en-US" w:eastAsia="zh-CN"/>
        </w:rPr>
        <w:t>盖章</w:t>
      </w:r>
      <w:r>
        <w:rPr>
          <w:rFonts w:hint="eastAsia" w:asciiTheme="minorEastAsia" w:hAnsiTheme="minorEastAsia" w:eastAsiaTheme="minorEastAsia" w:cstheme="minorEastAsia"/>
          <w:b/>
          <w:color w:val="auto"/>
          <w:sz w:val="24"/>
          <w:highlight w:val="none"/>
        </w:rPr>
        <w:t xml:space="preserve">：   </w:t>
      </w:r>
    </w:p>
    <w:p w14:paraId="3A11BB5A">
      <w:pPr>
        <w:rPr>
          <w:rFonts w:asciiTheme="minorEastAsia" w:hAnsiTheme="minorEastAsia" w:eastAsiaTheme="minorEastAsia" w:cstheme="minorEastAsia"/>
          <w:color w:val="auto"/>
          <w:sz w:val="24"/>
          <w:highlight w:val="none"/>
        </w:rPr>
      </w:pPr>
    </w:p>
    <w:p w14:paraId="3FA557E3">
      <w:pPr>
        <w:rPr>
          <w:rFonts w:asciiTheme="minorEastAsia" w:hAnsiTheme="minorEastAsia" w:eastAsiaTheme="minorEastAsia" w:cstheme="minorEastAsia"/>
          <w:color w:val="auto"/>
          <w:sz w:val="24"/>
          <w:highlight w:val="none"/>
        </w:rPr>
      </w:pPr>
    </w:p>
    <w:p w14:paraId="238548BD">
      <w:pP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b/>
          <w:color w:val="auto"/>
          <w:sz w:val="24"/>
          <w:highlight w:val="none"/>
        </w:rPr>
        <w:t>日期</w:t>
      </w:r>
      <w:r>
        <w:rPr>
          <w:rFonts w:hint="eastAsia" w:asciiTheme="minorEastAsia" w:hAnsiTheme="minorEastAsia" w:eastAsiaTheme="minorEastAsia" w:cstheme="minorEastAsia"/>
          <w:color w:val="auto"/>
          <w:sz w:val="24"/>
          <w:highlight w:val="none"/>
        </w:rPr>
        <w:t>：   年    月    日</w:t>
      </w:r>
    </w:p>
    <w:p w14:paraId="69EF94DE">
      <w:pPr>
        <w:rPr>
          <w:rFonts w:asciiTheme="minorEastAsia" w:hAnsiTheme="minorEastAsia" w:eastAsiaTheme="minorEastAsia" w:cstheme="minorEastAsia"/>
          <w:color w:val="auto"/>
          <w:sz w:val="24"/>
          <w:highlight w:val="none"/>
        </w:rPr>
      </w:pPr>
    </w:p>
    <w:p w14:paraId="18BC0FFD">
      <w:pPr>
        <w:rPr>
          <w:rFonts w:asciiTheme="minorEastAsia" w:hAnsiTheme="minorEastAsia" w:eastAsiaTheme="minorEastAsia" w:cstheme="minorEastAsia"/>
          <w:color w:val="auto"/>
          <w:sz w:val="24"/>
          <w:highlight w:val="none"/>
        </w:rPr>
      </w:pPr>
    </w:p>
    <w:p w14:paraId="76720563">
      <w:pPr>
        <w:rPr>
          <w:rFonts w:asciiTheme="minorEastAsia" w:hAnsiTheme="minorEastAsia" w:eastAsiaTheme="minorEastAsia" w:cstheme="minorEastAsia"/>
          <w:color w:val="auto"/>
          <w:sz w:val="24"/>
          <w:highlight w:val="none"/>
        </w:rPr>
      </w:pPr>
    </w:p>
    <w:p w14:paraId="602784CF">
      <w:pPr>
        <w:rPr>
          <w:rFonts w:asciiTheme="minorEastAsia" w:hAnsiTheme="minorEastAsia" w:eastAsiaTheme="minorEastAsia" w:cstheme="minorEastAsia"/>
          <w:color w:val="auto"/>
          <w:sz w:val="24"/>
          <w:highlight w:val="none"/>
        </w:rPr>
      </w:pPr>
    </w:p>
    <w:p w14:paraId="08F88248">
      <w:pPr>
        <w:rPr>
          <w:rFonts w:asciiTheme="minorEastAsia" w:hAnsiTheme="minorEastAsia" w:eastAsiaTheme="minorEastAsia" w:cstheme="minorEastAsia"/>
          <w:color w:val="auto"/>
          <w:sz w:val="24"/>
          <w:highlight w:val="none"/>
        </w:rPr>
      </w:pPr>
    </w:p>
    <w:p w14:paraId="5EF0E251">
      <w:pPr>
        <w:rPr>
          <w:rFonts w:asciiTheme="minorEastAsia" w:hAnsiTheme="minorEastAsia" w:eastAsiaTheme="minorEastAsia" w:cstheme="minorEastAsia"/>
          <w:color w:val="auto"/>
          <w:sz w:val="24"/>
          <w:highlight w:val="none"/>
        </w:rPr>
      </w:pPr>
    </w:p>
    <w:p w14:paraId="1F9BC3AD">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58" w:name="_Toc3760"/>
      <w:r>
        <w:rPr>
          <w:rFonts w:hint="eastAsia" w:asciiTheme="minorEastAsia" w:hAnsiTheme="minorEastAsia" w:eastAsiaTheme="minorEastAsia" w:cstheme="minorEastAsia"/>
          <w:color w:val="auto"/>
          <w:sz w:val="24"/>
          <w:szCs w:val="24"/>
          <w:highlight w:val="none"/>
        </w:rPr>
        <w:br w:type="page"/>
      </w:r>
      <w:bookmarkStart w:id="59" w:name="_Toc2257"/>
      <w:bookmarkStart w:id="60" w:name="_Toc9309"/>
      <w:bookmarkStart w:id="61" w:name="_Toc548"/>
      <w:bookmarkStart w:id="62" w:name="_Toc18671566"/>
      <w:r>
        <w:rPr>
          <w:rFonts w:hint="eastAsia" w:ascii="宋体" w:hAnsi="宋体" w:eastAsia="宋体" w:cs="宋体"/>
          <w:color w:val="auto"/>
          <w:sz w:val="24"/>
          <w:szCs w:val="24"/>
          <w:highlight w:val="none"/>
        </w:rPr>
        <w:t>三、营业执照</w:t>
      </w:r>
      <w:bookmarkEnd w:id="59"/>
      <w:bookmarkEnd w:id="60"/>
      <w:bookmarkEnd w:id="61"/>
    </w:p>
    <w:p w14:paraId="7E3ED950">
      <w:pPr>
        <w:jc w:val="center"/>
        <w:rPr>
          <w:rFonts w:ascii="宋体" w:hAnsi="宋体" w:cs="宋体"/>
          <w:color w:val="auto"/>
          <w:sz w:val="24"/>
          <w:highlight w:val="none"/>
        </w:rPr>
      </w:pPr>
      <w:bookmarkStart w:id="63" w:name="_Toc24176"/>
      <w:r>
        <w:rPr>
          <w:rFonts w:hint="eastAsia"/>
          <w:color w:val="auto"/>
          <w:sz w:val="24"/>
          <w:highlight w:val="none"/>
        </w:rPr>
        <w:t>（营业执照等信息）</w:t>
      </w:r>
    </w:p>
    <w:p w14:paraId="0A67B410">
      <w:pPr>
        <w:rPr>
          <w:rFonts w:ascii="宋体" w:hAnsi="宋体" w:cs="宋体"/>
          <w:color w:val="auto"/>
          <w:sz w:val="24"/>
          <w:highlight w:val="none"/>
        </w:rPr>
      </w:pPr>
      <w:r>
        <w:rPr>
          <w:rFonts w:hint="eastAsia" w:ascii="宋体" w:hAnsi="宋体" w:cs="宋体"/>
          <w:color w:val="auto"/>
          <w:sz w:val="24"/>
          <w:highlight w:val="none"/>
        </w:rPr>
        <w:br w:type="page"/>
      </w:r>
    </w:p>
    <w:p w14:paraId="4D56F52D">
      <w:pPr>
        <w:pStyle w:val="3"/>
        <w:spacing w:before="156" w:beforeLines="50" w:after="156" w:afterLines="50" w:line="560" w:lineRule="exact"/>
        <w:jc w:val="center"/>
        <w:rPr>
          <w:rFonts w:ascii="宋体" w:hAnsi="宋体" w:eastAsia="宋体" w:cs="宋体"/>
          <w:color w:val="auto"/>
          <w:sz w:val="24"/>
          <w:szCs w:val="24"/>
          <w:highlight w:val="none"/>
        </w:rPr>
      </w:pPr>
      <w:bookmarkStart w:id="64" w:name="_Toc1365"/>
      <w:bookmarkStart w:id="65" w:name="_Toc31253"/>
      <w:r>
        <w:rPr>
          <w:rFonts w:hint="eastAsia" w:ascii="宋体" w:hAnsi="宋体" w:eastAsia="宋体" w:cs="宋体"/>
          <w:color w:val="auto"/>
          <w:sz w:val="24"/>
          <w:szCs w:val="24"/>
          <w:highlight w:val="none"/>
        </w:rPr>
        <w:t>四、授权委托书</w:t>
      </w:r>
      <w:bookmarkEnd w:id="63"/>
      <w:bookmarkEnd w:id="64"/>
      <w:bookmarkEnd w:id="65"/>
    </w:p>
    <w:p w14:paraId="14CFAAD8">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hAnsi="宋体" w:cs="宋体"/>
          <w:color w:val="auto"/>
          <w:sz w:val="24"/>
          <w:highlight w:val="none"/>
          <w:u w:val="single"/>
        </w:rPr>
        <w:t xml:space="preserve"> （供应商名称的全称） </w:t>
      </w:r>
      <w:r>
        <w:rPr>
          <w:rFonts w:hint="eastAsia" w:asciiTheme="minorEastAsia" w:hAnsiTheme="minorEastAsia" w:eastAsiaTheme="minorEastAsia" w:cstheme="minorEastAsia"/>
          <w:color w:val="auto"/>
          <w:sz w:val="24"/>
          <w:highlight w:val="none"/>
        </w:rPr>
        <w:t>授权本公司</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（响应供应商授权代表姓名、职务）代表本公司参加</w:t>
      </w:r>
      <w:r>
        <w:rPr>
          <w:rFonts w:hint="eastAsia" w:asciiTheme="minorEastAsia" w:hAnsiTheme="minorEastAsia" w:eastAsiaTheme="minorEastAsia" w:cstheme="minorEastAsia"/>
          <w:color w:val="auto"/>
          <w:sz w:val="24"/>
          <w:highlight w:val="none"/>
          <w:u w:val="single"/>
        </w:rPr>
        <w:t xml:space="preserve">       某项目</w:t>
      </w:r>
      <w:r>
        <w:rPr>
          <w:rFonts w:hint="eastAsia" w:asciiTheme="minorEastAsia" w:hAnsiTheme="minorEastAsia" w:eastAsiaTheme="minorEastAsia" w:cstheme="minorEastAsia"/>
          <w:color w:val="auto"/>
          <w:sz w:val="24"/>
          <w:highlight w:val="none"/>
        </w:rPr>
        <w:t>采购活动（项目编号：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），全权代表本公司处理采购过程的一切事宜。响应供应商授权代表在采购过程中所签署的一切文件和处理与之有关的一切事务，本公司均予以认可并对此承担责任。响应供应商授权代表无转委托权。</w:t>
      </w:r>
    </w:p>
    <w:p w14:paraId="10E4A6FA">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特此授权。</w:t>
      </w:r>
    </w:p>
    <w:p w14:paraId="3269DCA1">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本授权书自出具之日起生效。</w:t>
      </w:r>
    </w:p>
    <w:p w14:paraId="4605A72C">
      <w:pPr>
        <w:spacing w:line="360" w:lineRule="auto"/>
        <w:rPr>
          <w:rFonts w:asciiTheme="minorEastAsia" w:hAnsiTheme="minorEastAsia" w:eastAsiaTheme="minorEastAsia" w:cstheme="minorEastAsia"/>
          <w:color w:val="auto"/>
          <w:sz w:val="24"/>
          <w:highlight w:val="none"/>
        </w:rPr>
      </w:pPr>
    </w:p>
    <w:p w14:paraId="6C900534">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授权代表（或法定代表人）身份证明扫描件或影印件：</w:t>
      </w:r>
    </w:p>
    <w:p w14:paraId="43C09D0B">
      <w:pPr>
        <w:spacing w:line="360" w:lineRule="auto"/>
        <w:rPr>
          <w:rFonts w:asciiTheme="minorEastAsia" w:hAnsiTheme="minorEastAsia" w:eastAsiaTheme="minorEastAsia" w:cstheme="minorEastAsia"/>
          <w:color w:val="auto"/>
          <w:sz w:val="24"/>
          <w:highlight w:val="none"/>
        </w:rPr>
      </w:pPr>
    </w:p>
    <w:p w14:paraId="0FF4D235">
      <w:pPr>
        <w:spacing w:line="360" w:lineRule="auto"/>
        <w:rPr>
          <w:rFonts w:asciiTheme="minorEastAsia" w:hAnsiTheme="minorEastAsia" w:eastAsiaTheme="minorEastAsia" w:cstheme="minorEastAsia"/>
          <w:color w:val="auto"/>
          <w:sz w:val="24"/>
          <w:highlight w:val="none"/>
        </w:rPr>
      </w:pPr>
    </w:p>
    <w:p w14:paraId="4BE52A52">
      <w:pPr>
        <w:spacing w:line="360" w:lineRule="auto"/>
        <w:rPr>
          <w:rFonts w:asciiTheme="minorEastAsia" w:hAnsiTheme="minorEastAsia" w:eastAsiaTheme="minorEastAsia" w:cstheme="minorEastAsia"/>
          <w:color w:val="auto"/>
          <w:sz w:val="24"/>
          <w:highlight w:val="none"/>
        </w:rPr>
      </w:pPr>
    </w:p>
    <w:p w14:paraId="16EC234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授权代表（或法定代表人）联系方式：</w:t>
      </w:r>
      <w:r>
        <w:rPr>
          <w:rFonts w:hint="eastAsia" w:asciiTheme="minorEastAsia" w:hAnsiTheme="minorEastAsia" w:eastAsiaTheme="minorEastAsia" w:cstheme="minorEastAsia"/>
          <w:color w:val="auto"/>
          <w:sz w:val="24"/>
          <w:highlight w:val="none"/>
        </w:rPr>
        <w:t>（请填写手机号码）</w:t>
      </w:r>
    </w:p>
    <w:p w14:paraId="1DEB79E4">
      <w:pPr>
        <w:spacing w:line="360" w:lineRule="auto"/>
        <w:ind w:firstLine="645"/>
        <w:rPr>
          <w:rFonts w:asciiTheme="minorEastAsia" w:hAnsiTheme="minorEastAsia" w:eastAsiaTheme="minorEastAsia" w:cstheme="minorEastAsia"/>
          <w:color w:val="auto"/>
          <w:sz w:val="24"/>
          <w:highlight w:val="none"/>
        </w:rPr>
      </w:pPr>
    </w:p>
    <w:p w14:paraId="03D4CA94">
      <w:pPr>
        <w:spacing w:line="360" w:lineRule="auto"/>
        <w:rPr>
          <w:rFonts w:asciiTheme="minorEastAsia" w:hAnsiTheme="minorEastAsia" w:eastAsiaTheme="minorEastAsia" w:cstheme="minorEastAsia"/>
          <w:color w:val="auto"/>
          <w:sz w:val="24"/>
          <w:highlight w:val="none"/>
        </w:rPr>
      </w:pPr>
    </w:p>
    <w:p w14:paraId="18FB97F2">
      <w:pPr>
        <w:spacing w:line="360" w:lineRule="auto"/>
        <w:rPr>
          <w:rFonts w:asciiTheme="minorEastAsia" w:hAnsiTheme="minorEastAsia" w:eastAsiaTheme="minorEastAsia" w:cstheme="minorEastAsia"/>
          <w:color w:val="auto"/>
          <w:sz w:val="24"/>
          <w:highlight w:val="none"/>
        </w:rPr>
      </w:pPr>
    </w:p>
    <w:p w14:paraId="09B5218A">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w:t>
      </w:r>
      <w:r>
        <w:rPr>
          <w:rFonts w:hint="eastAsia" w:asciiTheme="minorEastAsia" w:hAnsiTheme="minorEastAsia" w:eastAsiaTheme="minorEastAsia" w:cstheme="minorEastAsia"/>
          <w:b/>
          <w:bCs/>
          <w:color w:val="auto"/>
          <w:sz w:val="24"/>
          <w:highlight w:val="none"/>
          <w:lang w:val="en-US" w:eastAsia="zh-CN"/>
        </w:rPr>
        <w:t>盖章</w:t>
      </w:r>
      <w:r>
        <w:rPr>
          <w:rFonts w:hint="eastAsia" w:asciiTheme="minorEastAsia" w:hAnsiTheme="minorEastAsia" w:eastAsiaTheme="minorEastAsia" w:cstheme="minorEastAsia"/>
          <w:b/>
          <w:bCs/>
          <w:color w:val="auto"/>
          <w:sz w:val="24"/>
          <w:highlight w:val="none"/>
        </w:rPr>
        <w:t>：</w:t>
      </w:r>
    </w:p>
    <w:p w14:paraId="073F32FF">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18E76048">
      <w:pPr>
        <w:rPr>
          <w:rFonts w:asciiTheme="minorEastAsia" w:hAnsiTheme="minorEastAsia" w:eastAsiaTheme="minorEastAsia" w:cstheme="minorEastAsia"/>
          <w:color w:val="auto"/>
          <w:sz w:val="24"/>
          <w:highlight w:val="none"/>
        </w:rPr>
      </w:pPr>
    </w:p>
    <w:p w14:paraId="11E23697">
      <w:pPr>
        <w:pStyle w:val="6"/>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w:t>
      </w:r>
    </w:p>
    <w:p w14:paraId="648CD9A8">
      <w:pPr>
        <w:pStyle w:val="6"/>
        <w:numPr>
          <w:ilvl w:val="0"/>
          <w:numId w:val="1"/>
        </w:numPr>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本项目只允许有唯一的响应供应商授权代表（提供身份证明扫描件或影印件及联系方式）；</w:t>
      </w:r>
    </w:p>
    <w:p w14:paraId="17390F1E">
      <w:pPr>
        <w:pStyle w:val="6"/>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2、法定代表人参加的，无需提供授权委托书，仅提供身份证明扫描件或影印件及联系方式即可。</w:t>
      </w:r>
    </w:p>
    <w:p w14:paraId="078069F7">
      <w:pPr>
        <w:rPr>
          <w:rFonts w:asciiTheme="minorEastAsia" w:hAnsiTheme="minorEastAsia" w:eastAsiaTheme="minorEastAsia" w:cstheme="minorEastAsia"/>
          <w:color w:val="auto"/>
          <w:sz w:val="24"/>
          <w:highlight w:val="none"/>
        </w:rPr>
      </w:pPr>
    </w:p>
    <w:bookmarkEnd w:id="55"/>
    <w:bookmarkEnd w:id="56"/>
    <w:bookmarkEnd w:id="57"/>
    <w:bookmarkEnd w:id="58"/>
    <w:bookmarkEnd w:id="62"/>
    <w:p w14:paraId="25FB72A4">
      <w:pPr>
        <w:rPr>
          <w:rStyle w:val="39"/>
          <w:rFonts w:ascii="宋体" w:hAnsi="宋体" w:eastAsia="宋体" w:cs="宋体"/>
          <w:color w:val="auto"/>
          <w:sz w:val="24"/>
          <w:szCs w:val="24"/>
          <w:highlight w:val="none"/>
        </w:rPr>
      </w:pPr>
      <w:bookmarkStart w:id="66" w:name="_Toc26032"/>
      <w:bookmarkStart w:id="67" w:name="_Toc18671568"/>
      <w:bookmarkStart w:id="68" w:name="_Toc533314960"/>
      <w:bookmarkStart w:id="69" w:name="_Toc272163840"/>
      <w:r>
        <w:rPr>
          <w:rStyle w:val="39"/>
          <w:rFonts w:hint="eastAsia" w:ascii="宋体" w:hAnsi="宋体" w:eastAsia="宋体" w:cs="宋体"/>
          <w:color w:val="auto"/>
          <w:sz w:val="24"/>
          <w:szCs w:val="24"/>
          <w:highlight w:val="none"/>
        </w:rPr>
        <w:br w:type="page"/>
      </w:r>
    </w:p>
    <w:p w14:paraId="3751C512">
      <w:pPr>
        <w:spacing w:line="560" w:lineRule="exact"/>
        <w:jc w:val="center"/>
        <w:rPr>
          <w:rFonts w:asciiTheme="minorEastAsia" w:hAnsiTheme="minorEastAsia" w:eastAsiaTheme="minorEastAsia" w:cstheme="minorEastAsia"/>
          <w:color w:val="auto"/>
          <w:sz w:val="24"/>
          <w:highlight w:val="none"/>
        </w:rPr>
      </w:pPr>
      <w:bookmarkStart w:id="70" w:name="_Toc7103"/>
      <w:bookmarkStart w:id="71" w:name="_Toc1332"/>
      <w:r>
        <w:rPr>
          <w:rStyle w:val="39"/>
          <w:rFonts w:hint="eastAsia" w:ascii="宋体" w:hAnsi="宋体" w:eastAsia="宋体" w:cs="宋体"/>
          <w:color w:val="auto"/>
          <w:sz w:val="24"/>
          <w:szCs w:val="24"/>
          <w:highlight w:val="none"/>
        </w:rPr>
        <w:t>五、服务分项报价表</w:t>
      </w:r>
      <w:bookmarkEnd w:id="66"/>
      <w:bookmarkEnd w:id="70"/>
      <w:bookmarkEnd w:id="71"/>
    </w:p>
    <w:p w14:paraId="3AFF66C7">
      <w:pPr>
        <w:pStyle w:val="36"/>
        <w:ind w:firstLine="0" w:firstLineChars="0"/>
        <w:rPr>
          <w:rFonts w:asciiTheme="minorEastAsia" w:hAnsiTheme="minorEastAsia" w:eastAsiaTheme="minorEastAsia" w:cstheme="minorEastAsia"/>
          <w:color w:val="auto"/>
          <w:sz w:val="24"/>
          <w:highlight w:val="none"/>
        </w:rPr>
      </w:pPr>
    </w:p>
    <w:tbl>
      <w:tblPr>
        <w:tblStyle w:val="16"/>
        <w:tblW w:w="87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14:paraId="755DFF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Align w:val="center"/>
          </w:tcPr>
          <w:p w14:paraId="69F792FC">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5234" w:type="dxa"/>
            <w:vAlign w:val="center"/>
          </w:tcPr>
          <w:p w14:paraId="2B39E33D">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内容</w:t>
            </w:r>
          </w:p>
        </w:tc>
        <w:tc>
          <w:tcPr>
            <w:tcW w:w="1559" w:type="dxa"/>
            <w:vAlign w:val="center"/>
          </w:tcPr>
          <w:p w14:paraId="7B116324">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总价</w:t>
            </w:r>
          </w:p>
          <w:p w14:paraId="194F114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（元）</w:t>
            </w:r>
          </w:p>
        </w:tc>
        <w:tc>
          <w:tcPr>
            <w:tcW w:w="1276" w:type="dxa"/>
            <w:vAlign w:val="center"/>
          </w:tcPr>
          <w:p w14:paraId="12147811">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14:paraId="322F2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4344E21E">
            <w:pPr>
              <w:jc w:val="center"/>
              <w:rPr>
                <w:rFonts w:asciiTheme="minorEastAsia" w:hAnsiTheme="minorEastAsia" w:eastAsiaTheme="minorEastAsia" w:cstheme="minorEastAsia"/>
                <w:color w:val="auto"/>
                <w:sz w:val="24"/>
                <w:highlight w:val="none"/>
              </w:rPr>
            </w:pPr>
          </w:p>
        </w:tc>
        <w:tc>
          <w:tcPr>
            <w:tcW w:w="5234" w:type="dxa"/>
            <w:vAlign w:val="center"/>
          </w:tcPr>
          <w:p w14:paraId="224596AF">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拟提供的服务费用</w:t>
            </w:r>
          </w:p>
        </w:tc>
        <w:tc>
          <w:tcPr>
            <w:tcW w:w="1559" w:type="dxa"/>
            <w:vAlign w:val="center"/>
          </w:tcPr>
          <w:p w14:paraId="641C02FE">
            <w:pPr>
              <w:jc w:val="center"/>
              <w:rPr>
                <w:rFonts w:asciiTheme="minorEastAsia" w:hAnsiTheme="minorEastAsia" w:eastAsiaTheme="minorEastAsia" w:cstheme="minorEastAsia"/>
                <w:color w:val="auto"/>
                <w:sz w:val="24"/>
                <w:highlight w:val="none"/>
              </w:rPr>
            </w:pPr>
          </w:p>
        </w:tc>
        <w:tc>
          <w:tcPr>
            <w:tcW w:w="1276" w:type="dxa"/>
            <w:vMerge w:val="restart"/>
            <w:vAlign w:val="center"/>
          </w:tcPr>
          <w:p w14:paraId="7961654F">
            <w:pPr>
              <w:jc w:val="center"/>
              <w:rPr>
                <w:rFonts w:asciiTheme="minorEastAsia" w:hAnsiTheme="minorEastAsia" w:eastAsiaTheme="minorEastAsia" w:cstheme="minorEastAsia"/>
                <w:color w:val="auto"/>
                <w:sz w:val="24"/>
                <w:highlight w:val="none"/>
              </w:rPr>
            </w:pPr>
          </w:p>
        </w:tc>
      </w:tr>
      <w:tr w14:paraId="2A7825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76CE377">
            <w:pPr>
              <w:jc w:val="center"/>
              <w:rPr>
                <w:rFonts w:asciiTheme="minorEastAsia" w:hAnsiTheme="minorEastAsia" w:eastAsiaTheme="minorEastAsia" w:cstheme="minorEastAsia"/>
                <w:color w:val="auto"/>
                <w:sz w:val="24"/>
                <w:highlight w:val="none"/>
              </w:rPr>
            </w:pPr>
          </w:p>
        </w:tc>
        <w:tc>
          <w:tcPr>
            <w:tcW w:w="5234" w:type="dxa"/>
            <w:vAlign w:val="center"/>
          </w:tcPr>
          <w:p w14:paraId="631EA396">
            <w:pPr>
              <w:jc w:val="center"/>
              <w:rPr>
                <w:rFonts w:asciiTheme="minorEastAsia" w:hAnsiTheme="minorEastAsia" w:eastAsiaTheme="minorEastAsia" w:cstheme="minorEastAsia"/>
                <w:color w:val="auto"/>
                <w:sz w:val="24"/>
                <w:highlight w:val="none"/>
              </w:rPr>
            </w:pPr>
          </w:p>
        </w:tc>
        <w:tc>
          <w:tcPr>
            <w:tcW w:w="1559" w:type="dxa"/>
            <w:vAlign w:val="center"/>
          </w:tcPr>
          <w:p w14:paraId="1641E855">
            <w:pPr>
              <w:jc w:val="center"/>
              <w:rPr>
                <w:rFonts w:asciiTheme="minorEastAsia" w:hAnsiTheme="minorEastAsia" w:eastAsiaTheme="minorEastAsia" w:cstheme="minorEastAsia"/>
                <w:color w:val="auto"/>
                <w:sz w:val="24"/>
                <w:highlight w:val="none"/>
              </w:rPr>
            </w:pPr>
          </w:p>
        </w:tc>
        <w:tc>
          <w:tcPr>
            <w:tcW w:w="1276" w:type="dxa"/>
            <w:vMerge w:val="continue"/>
          </w:tcPr>
          <w:p w14:paraId="1E1090C3">
            <w:pPr>
              <w:rPr>
                <w:rFonts w:asciiTheme="minorEastAsia" w:hAnsiTheme="minorEastAsia" w:eastAsiaTheme="minorEastAsia" w:cstheme="minorEastAsia"/>
                <w:color w:val="auto"/>
                <w:sz w:val="24"/>
                <w:highlight w:val="none"/>
              </w:rPr>
            </w:pPr>
          </w:p>
        </w:tc>
      </w:tr>
      <w:tr w14:paraId="5C22FC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9EB5A5A">
            <w:pPr>
              <w:jc w:val="center"/>
              <w:rPr>
                <w:rFonts w:asciiTheme="minorEastAsia" w:hAnsiTheme="minorEastAsia" w:eastAsiaTheme="minorEastAsia" w:cstheme="minorEastAsia"/>
                <w:color w:val="auto"/>
                <w:sz w:val="24"/>
                <w:highlight w:val="none"/>
              </w:rPr>
            </w:pPr>
          </w:p>
        </w:tc>
        <w:tc>
          <w:tcPr>
            <w:tcW w:w="5234" w:type="dxa"/>
            <w:vAlign w:val="center"/>
          </w:tcPr>
          <w:p w14:paraId="0C97644D">
            <w:pPr>
              <w:jc w:val="center"/>
              <w:rPr>
                <w:rFonts w:asciiTheme="minorEastAsia" w:hAnsiTheme="minorEastAsia" w:eastAsiaTheme="minorEastAsia" w:cstheme="minorEastAsia"/>
                <w:color w:val="auto"/>
                <w:sz w:val="24"/>
                <w:highlight w:val="none"/>
              </w:rPr>
            </w:pPr>
          </w:p>
        </w:tc>
        <w:tc>
          <w:tcPr>
            <w:tcW w:w="1559" w:type="dxa"/>
            <w:vAlign w:val="center"/>
          </w:tcPr>
          <w:p w14:paraId="22CDB8FB">
            <w:pPr>
              <w:jc w:val="center"/>
              <w:rPr>
                <w:rFonts w:asciiTheme="minorEastAsia" w:hAnsiTheme="minorEastAsia" w:eastAsiaTheme="minorEastAsia" w:cstheme="minorEastAsia"/>
                <w:color w:val="auto"/>
                <w:sz w:val="24"/>
                <w:highlight w:val="none"/>
              </w:rPr>
            </w:pPr>
          </w:p>
        </w:tc>
        <w:tc>
          <w:tcPr>
            <w:tcW w:w="1276" w:type="dxa"/>
            <w:vMerge w:val="continue"/>
          </w:tcPr>
          <w:p w14:paraId="6F15C436">
            <w:pPr>
              <w:rPr>
                <w:rFonts w:asciiTheme="minorEastAsia" w:hAnsiTheme="minorEastAsia" w:eastAsiaTheme="minorEastAsia" w:cstheme="minorEastAsia"/>
                <w:color w:val="auto"/>
                <w:sz w:val="24"/>
                <w:highlight w:val="none"/>
              </w:rPr>
            </w:pPr>
          </w:p>
        </w:tc>
      </w:tr>
      <w:tr w14:paraId="5CEE86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107ECBF">
            <w:pPr>
              <w:jc w:val="center"/>
              <w:rPr>
                <w:rFonts w:asciiTheme="minorEastAsia" w:hAnsiTheme="minorEastAsia" w:eastAsiaTheme="minorEastAsia" w:cstheme="minorEastAsia"/>
                <w:color w:val="auto"/>
                <w:sz w:val="24"/>
                <w:highlight w:val="none"/>
              </w:rPr>
            </w:pPr>
          </w:p>
        </w:tc>
        <w:tc>
          <w:tcPr>
            <w:tcW w:w="5234" w:type="dxa"/>
            <w:vAlign w:val="center"/>
          </w:tcPr>
          <w:p w14:paraId="7D6705F0">
            <w:pPr>
              <w:jc w:val="center"/>
              <w:rPr>
                <w:rFonts w:asciiTheme="minorEastAsia" w:hAnsiTheme="minorEastAsia" w:eastAsiaTheme="minorEastAsia" w:cstheme="minorEastAsia"/>
                <w:color w:val="auto"/>
                <w:sz w:val="24"/>
                <w:highlight w:val="none"/>
              </w:rPr>
            </w:pPr>
          </w:p>
        </w:tc>
        <w:tc>
          <w:tcPr>
            <w:tcW w:w="1559" w:type="dxa"/>
            <w:vAlign w:val="center"/>
          </w:tcPr>
          <w:p w14:paraId="4E5A70B7">
            <w:pPr>
              <w:jc w:val="center"/>
              <w:rPr>
                <w:rFonts w:asciiTheme="minorEastAsia" w:hAnsiTheme="minorEastAsia" w:eastAsiaTheme="minorEastAsia" w:cstheme="minorEastAsia"/>
                <w:color w:val="auto"/>
                <w:sz w:val="24"/>
                <w:highlight w:val="none"/>
              </w:rPr>
            </w:pPr>
          </w:p>
        </w:tc>
        <w:tc>
          <w:tcPr>
            <w:tcW w:w="1276" w:type="dxa"/>
            <w:vMerge w:val="continue"/>
          </w:tcPr>
          <w:p w14:paraId="5679BBD8">
            <w:pPr>
              <w:rPr>
                <w:rFonts w:asciiTheme="minorEastAsia" w:hAnsiTheme="minorEastAsia" w:eastAsiaTheme="minorEastAsia" w:cstheme="minorEastAsia"/>
                <w:color w:val="auto"/>
                <w:sz w:val="24"/>
                <w:highlight w:val="none"/>
              </w:rPr>
            </w:pPr>
          </w:p>
        </w:tc>
      </w:tr>
      <w:tr w14:paraId="52B193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02D70A0">
            <w:pPr>
              <w:jc w:val="center"/>
              <w:rPr>
                <w:rFonts w:asciiTheme="minorEastAsia" w:hAnsiTheme="minorEastAsia" w:eastAsiaTheme="minorEastAsia" w:cstheme="minorEastAsia"/>
                <w:color w:val="auto"/>
                <w:sz w:val="24"/>
                <w:highlight w:val="none"/>
              </w:rPr>
            </w:pPr>
          </w:p>
        </w:tc>
        <w:tc>
          <w:tcPr>
            <w:tcW w:w="5234" w:type="dxa"/>
            <w:vAlign w:val="center"/>
          </w:tcPr>
          <w:p w14:paraId="455ACBC1">
            <w:pPr>
              <w:jc w:val="center"/>
              <w:rPr>
                <w:rFonts w:asciiTheme="minorEastAsia" w:hAnsiTheme="minorEastAsia" w:eastAsiaTheme="minorEastAsia" w:cstheme="minorEastAsia"/>
                <w:color w:val="auto"/>
                <w:sz w:val="24"/>
                <w:highlight w:val="none"/>
              </w:rPr>
            </w:pPr>
          </w:p>
        </w:tc>
        <w:tc>
          <w:tcPr>
            <w:tcW w:w="1559" w:type="dxa"/>
            <w:vAlign w:val="center"/>
          </w:tcPr>
          <w:p w14:paraId="00685CB3">
            <w:pPr>
              <w:jc w:val="center"/>
              <w:rPr>
                <w:rFonts w:asciiTheme="minorEastAsia" w:hAnsiTheme="minorEastAsia" w:eastAsiaTheme="minorEastAsia" w:cstheme="minorEastAsia"/>
                <w:color w:val="auto"/>
                <w:sz w:val="24"/>
                <w:highlight w:val="none"/>
              </w:rPr>
            </w:pPr>
          </w:p>
        </w:tc>
        <w:tc>
          <w:tcPr>
            <w:tcW w:w="1276" w:type="dxa"/>
            <w:vMerge w:val="continue"/>
          </w:tcPr>
          <w:p w14:paraId="42EAA35B">
            <w:pPr>
              <w:rPr>
                <w:rFonts w:asciiTheme="minorEastAsia" w:hAnsiTheme="minorEastAsia" w:eastAsiaTheme="minorEastAsia" w:cstheme="minorEastAsia"/>
                <w:color w:val="auto"/>
                <w:sz w:val="24"/>
                <w:highlight w:val="none"/>
              </w:rPr>
            </w:pPr>
          </w:p>
        </w:tc>
      </w:tr>
      <w:tr w14:paraId="057318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7D334A7">
            <w:pPr>
              <w:jc w:val="center"/>
              <w:rPr>
                <w:rFonts w:asciiTheme="minorEastAsia" w:hAnsiTheme="minorEastAsia" w:eastAsiaTheme="minorEastAsia" w:cstheme="minorEastAsia"/>
                <w:color w:val="auto"/>
                <w:sz w:val="24"/>
                <w:highlight w:val="none"/>
              </w:rPr>
            </w:pPr>
          </w:p>
        </w:tc>
        <w:tc>
          <w:tcPr>
            <w:tcW w:w="5234" w:type="dxa"/>
            <w:vAlign w:val="center"/>
          </w:tcPr>
          <w:p w14:paraId="6CAF316E">
            <w:pPr>
              <w:jc w:val="center"/>
              <w:rPr>
                <w:rFonts w:asciiTheme="minorEastAsia" w:hAnsiTheme="minorEastAsia" w:eastAsiaTheme="minorEastAsia" w:cstheme="minorEastAsia"/>
                <w:color w:val="auto"/>
                <w:sz w:val="24"/>
                <w:highlight w:val="none"/>
              </w:rPr>
            </w:pPr>
          </w:p>
        </w:tc>
        <w:tc>
          <w:tcPr>
            <w:tcW w:w="1559" w:type="dxa"/>
            <w:vAlign w:val="center"/>
          </w:tcPr>
          <w:p w14:paraId="65EBD4C5">
            <w:pPr>
              <w:jc w:val="center"/>
              <w:rPr>
                <w:rFonts w:asciiTheme="minorEastAsia" w:hAnsiTheme="minorEastAsia" w:eastAsiaTheme="minorEastAsia" w:cstheme="minorEastAsia"/>
                <w:color w:val="auto"/>
                <w:sz w:val="24"/>
                <w:highlight w:val="none"/>
              </w:rPr>
            </w:pPr>
          </w:p>
        </w:tc>
        <w:tc>
          <w:tcPr>
            <w:tcW w:w="1276" w:type="dxa"/>
            <w:vMerge w:val="continue"/>
          </w:tcPr>
          <w:p w14:paraId="022BD9B7">
            <w:pPr>
              <w:rPr>
                <w:rFonts w:asciiTheme="minorEastAsia" w:hAnsiTheme="minorEastAsia" w:eastAsiaTheme="minorEastAsia" w:cstheme="minorEastAsia"/>
                <w:color w:val="auto"/>
                <w:sz w:val="24"/>
                <w:highlight w:val="none"/>
              </w:rPr>
            </w:pPr>
          </w:p>
        </w:tc>
      </w:tr>
      <w:tr w14:paraId="674A8C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74069577">
            <w:pPr>
              <w:jc w:val="center"/>
              <w:rPr>
                <w:rFonts w:asciiTheme="minorEastAsia" w:hAnsiTheme="minorEastAsia" w:eastAsiaTheme="minorEastAsia" w:cstheme="minorEastAsia"/>
                <w:color w:val="auto"/>
                <w:sz w:val="24"/>
                <w:highlight w:val="none"/>
              </w:rPr>
            </w:pPr>
          </w:p>
        </w:tc>
        <w:tc>
          <w:tcPr>
            <w:tcW w:w="5234" w:type="dxa"/>
            <w:vAlign w:val="center"/>
          </w:tcPr>
          <w:p w14:paraId="17337E7F">
            <w:pPr>
              <w:jc w:val="center"/>
              <w:rPr>
                <w:rFonts w:asciiTheme="minorEastAsia" w:hAnsiTheme="minorEastAsia" w:eastAsiaTheme="minorEastAsia" w:cstheme="minorEastAsia"/>
                <w:color w:val="auto"/>
                <w:sz w:val="24"/>
                <w:highlight w:val="none"/>
              </w:rPr>
            </w:pPr>
          </w:p>
        </w:tc>
        <w:tc>
          <w:tcPr>
            <w:tcW w:w="1559" w:type="dxa"/>
            <w:vAlign w:val="center"/>
          </w:tcPr>
          <w:p w14:paraId="012F4F6C">
            <w:pPr>
              <w:jc w:val="center"/>
              <w:rPr>
                <w:rFonts w:asciiTheme="minorEastAsia" w:hAnsiTheme="minorEastAsia" w:eastAsiaTheme="minorEastAsia" w:cstheme="minorEastAsia"/>
                <w:color w:val="auto"/>
                <w:sz w:val="24"/>
                <w:highlight w:val="none"/>
              </w:rPr>
            </w:pPr>
          </w:p>
        </w:tc>
        <w:tc>
          <w:tcPr>
            <w:tcW w:w="1276" w:type="dxa"/>
            <w:vMerge w:val="continue"/>
          </w:tcPr>
          <w:p w14:paraId="51B4347D">
            <w:pPr>
              <w:rPr>
                <w:rFonts w:asciiTheme="minorEastAsia" w:hAnsiTheme="minorEastAsia" w:eastAsiaTheme="minorEastAsia" w:cstheme="minorEastAsia"/>
                <w:color w:val="auto"/>
                <w:sz w:val="24"/>
                <w:highlight w:val="none"/>
              </w:rPr>
            </w:pPr>
          </w:p>
        </w:tc>
      </w:tr>
      <w:tr w14:paraId="364C0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84DC5D8">
            <w:pPr>
              <w:jc w:val="center"/>
              <w:rPr>
                <w:rFonts w:asciiTheme="minorEastAsia" w:hAnsiTheme="minorEastAsia" w:eastAsiaTheme="minorEastAsia" w:cstheme="minorEastAsia"/>
                <w:color w:val="auto"/>
                <w:sz w:val="24"/>
                <w:highlight w:val="none"/>
              </w:rPr>
            </w:pPr>
          </w:p>
        </w:tc>
        <w:tc>
          <w:tcPr>
            <w:tcW w:w="5234" w:type="dxa"/>
            <w:vAlign w:val="center"/>
          </w:tcPr>
          <w:p w14:paraId="721BA5FD">
            <w:pPr>
              <w:jc w:val="center"/>
              <w:rPr>
                <w:rFonts w:asciiTheme="minorEastAsia" w:hAnsiTheme="minorEastAsia" w:eastAsiaTheme="minorEastAsia" w:cstheme="minorEastAsia"/>
                <w:color w:val="auto"/>
                <w:sz w:val="24"/>
                <w:highlight w:val="none"/>
              </w:rPr>
            </w:pPr>
          </w:p>
        </w:tc>
        <w:tc>
          <w:tcPr>
            <w:tcW w:w="1559" w:type="dxa"/>
            <w:vAlign w:val="center"/>
          </w:tcPr>
          <w:p w14:paraId="05592D67">
            <w:pPr>
              <w:jc w:val="center"/>
              <w:rPr>
                <w:rFonts w:asciiTheme="minorEastAsia" w:hAnsiTheme="minorEastAsia" w:eastAsiaTheme="minorEastAsia" w:cstheme="minorEastAsia"/>
                <w:color w:val="auto"/>
                <w:sz w:val="24"/>
                <w:highlight w:val="none"/>
              </w:rPr>
            </w:pPr>
          </w:p>
        </w:tc>
        <w:tc>
          <w:tcPr>
            <w:tcW w:w="1276" w:type="dxa"/>
            <w:vMerge w:val="continue"/>
          </w:tcPr>
          <w:p w14:paraId="77009421">
            <w:pPr>
              <w:rPr>
                <w:rFonts w:asciiTheme="minorEastAsia" w:hAnsiTheme="minorEastAsia" w:eastAsiaTheme="minorEastAsia" w:cstheme="minorEastAsia"/>
                <w:color w:val="auto"/>
                <w:sz w:val="24"/>
                <w:highlight w:val="none"/>
              </w:rPr>
            </w:pPr>
          </w:p>
        </w:tc>
      </w:tr>
      <w:tr w14:paraId="14A01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163B9A9">
            <w:pPr>
              <w:jc w:val="center"/>
              <w:rPr>
                <w:rFonts w:asciiTheme="minorEastAsia" w:hAnsiTheme="minorEastAsia" w:eastAsiaTheme="minorEastAsia" w:cstheme="minorEastAsia"/>
                <w:color w:val="auto"/>
                <w:sz w:val="24"/>
                <w:highlight w:val="none"/>
              </w:rPr>
            </w:pPr>
          </w:p>
        </w:tc>
        <w:tc>
          <w:tcPr>
            <w:tcW w:w="5234" w:type="dxa"/>
            <w:vAlign w:val="center"/>
          </w:tcPr>
          <w:p w14:paraId="1D758431">
            <w:pPr>
              <w:jc w:val="center"/>
              <w:rPr>
                <w:rFonts w:asciiTheme="minorEastAsia" w:hAnsiTheme="minorEastAsia" w:eastAsiaTheme="minorEastAsia" w:cstheme="minorEastAsia"/>
                <w:color w:val="auto"/>
                <w:sz w:val="24"/>
                <w:highlight w:val="none"/>
              </w:rPr>
            </w:pPr>
          </w:p>
        </w:tc>
        <w:tc>
          <w:tcPr>
            <w:tcW w:w="1559" w:type="dxa"/>
            <w:vAlign w:val="center"/>
          </w:tcPr>
          <w:p w14:paraId="00D4CF61">
            <w:pPr>
              <w:jc w:val="center"/>
              <w:rPr>
                <w:rFonts w:asciiTheme="minorEastAsia" w:hAnsiTheme="minorEastAsia" w:eastAsiaTheme="minorEastAsia" w:cstheme="minorEastAsia"/>
                <w:color w:val="auto"/>
                <w:sz w:val="24"/>
                <w:highlight w:val="none"/>
              </w:rPr>
            </w:pPr>
          </w:p>
        </w:tc>
        <w:tc>
          <w:tcPr>
            <w:tcW w:w="1276" w:type="dxa"/>
            <w:vMerge w:val="continue"/>
          </w:tcPr>
          <w:p w14:paraId="297FD971">
            <w:pPr>
              <w:rPr>
                <w:rFonts w:asciiTheme="minorEastAsia" w:hAnsiTheme="minorEastAsia" w:eastAsiaTheme="minorEastAsia" w:cstheme="minorEastAsia"/>
                <w:color w:val="auto"/>
                <w:sz w:val="24"/>
                <w:highlight w:val="none"/>
              </w:rPr>
            </w:pPr>
          </w:p>
        </w:tc>
      </w:tr>
      <w:tr w14:paraId="28372F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3C81E58">
            <w:pPr>
              <w:jc w:val="center"/>
              <w:rPr>
                <w:rFonts w:asciiTheme="minorEastAsia" w:hAnsiTheme="minorEastAsia" w:eastAsiaTheme="minorEastAsia" w:cstheme="minorEastAsia"/>
                <w:color w:val="auto"/>
                <w:sz w:val="24"/>
                <w:highlight w:val="none"/>
              </w:rPr>
            </w:pPr>
          </w:p>
        </w:tc>
        <w:tc>
          <w:tcPr>
            <w:tcW w:w="5234" w:type="dxa"/>
            <w:vAlign w:val="center"/>
          </w:tcPr>
          <w:p w14:paraId="54D39120">
            <w:pPr>
              <w:jc w:val="center"/>
              <w:rPr>
                <w:rFonts w:asciiTheme="minorEastAsia" w:hAnsiTheme="minorEastAsia" w:eastAsiaTheme="minorEastAsia" w:cstheme="minorEastAsia"/>
                <w:color w:val="auto"/>
                <w:sz w:val="24"/>
                <w:highlight w:val="none"/>
              </w:rPr>
            </w:pPr>
          </w:p>
        </w:tc>
        <w:tc>
          <w:tcPr>
            <w:tcW w:w="1559" w:type="dxa"/>
            <w:vAlign w:val="center"/>
          </w:tcPr>
          <w:p w14:paraId="52CAAC07">
            <w:pPr>
              <w:jc w:val="center"/>
              <w:rPr>
                <w:rFonts w:asciiTheme="minorEastAsia" w:hAnsiTheme="minorEastAsia" w:eastAsiaTheme="minorEastAsia" w:cstheme="minorEastAsia"/>
                <w:color w:val="auto"/>
                <w:sz w:val="24"/>
                <w:highlight w:val="none"/>
              </w:rPr>
            </w:pPr>
          </w:p>
        </w:tc>
        <w:tc>
          <w:tcPr>
            <w:tcW w:w="1276" w:type="dxa"/>
            <w:vMerge w:val="continue"/>
          </w:tcPr>
          <w:p w14:paraId="615C68E8">
            <w:pPr>
              <w:rPr>
                <w:rFonts w:asciiTheme="minorEastAsia" w:hAnsiTheme="minorEastAsia" w:eastAsiaTheme="minorEastAsia" w:cstheme="minorEastAsia"/>
                <w:color w:val="auto"/>
                <w:sz w:val="24"/>
                <w:highlight w:val="none"/>
              </w:rPr>
            </w:pPr>
          </w:p>
        </w:tc>
      </w:tr>
      <w:tr w14:paraId="45CBC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C97AD26">
            <w:pPr>
              <w:jc w:val="center"/>
              <w:rPr>
                <w:rFonts w:asciiTheme="minorEastAsia" w:hAnsiTheme="minorEastAsia" w:eastAsiaTheme="minorEastAsia" w:cstheme="minorEastAsia"/>
                <w:color w:val="auto"/>
                <w:sz w:val="24"/>
                <w:highlight w:val="none"/>
              </w:rPr>
            </w:pPr>
          </w:p>
        </w:tc>
        <w:tc>
          <w:tcPr>
            <w:tcW w:w="5234" w:type="dxa"/>
            <w:vAlign w:val="center"/>
          </w:tcPr>
          <w:p w14:paraId="3EC8B64C">
            <w:pPr>
              <w:jc w:val="center"/>
              <w:rPr>
                <w:rFonts w:asciiTheme="minorEastAsia" w:hAnsiTheme="minorEastAsia" w:eastAsiaTheme="minorEastAsia" w:cstheme="minorEastAsia"/>
                <w:color w:val="auto"/>
                <w:sz w:val="24"/>
                <w:highlight w:val="none"/>
              </w:rPr>
            </w:pPr>
          </w:p>
        </w:tc>
        <w:tc>
          <w:tcPr>
            <w:tcW w:w="1559" w:type="dxa"/>
            <w:vAlign w:val="center"/>
          </w:tcPr>
          <w:p w14:paraId="3FC1F4F0">
            <w:pPr>
              <w:jc w:val="center"/>
              <w:rPr>
                <w:rFonts w:asciiTheme="minorEastAsia" w:hAnsiTheme="minorEastAsia" w:eastAsiaTheme="minorEastAsia" w:cstheme="minorEastAsia"/>
                <w:color w:val="auto"/>
                <w:sz w:val="24"/>
                <w:highlight w:val="none"/>
              </w:rPr>
            </w:pPr>
          </w:p>
        </w:tc>
        <w:tc>
          <w:tcPr>
            <w:tcW w:w="1276" w:type="dxa"/>
            <w:vMerge w:val="continue"/>
          </w:tcPr>
          <w:p w14:paraId="3F0FF7F3">
            <w:pPr>
              <w:rPr>
                <w:rFonts w:asciiTheme="minorEastAsia" w:hAnsiTheme="minorEastAsia" w:eastAsiaTheme="minorEastAsia" w:cstheme="minorEastAsia"/>
                <w:color w:val="auto"/>
                <w:sz w:val="24"/>
                <w:highlight w:val="none"/>
              </w:rPr>
            </w:pPr>
          </w:p>
        </w:tc>
      </w:tr>
      <w:tr w14:paraId="72A5AE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DFAB47E">
            <w:pPr>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合计</w:t>
            </w:r>
          </w:p>
        </w:tc>
        <w:tc>
          <w:tcPr>
            <w:tcW w:w="5234" w:type="dxa"/>
            <w:vAlign w:val="center"/>
          </w:tcPr>
          <w:p w14:paraId="33047382">
            <w:pPr>
              <w:jc w:val="center"/>
              <w:rPr>
                <w:rFonts w:asciiTheme="minorEastAsia" w:hAnsiTheme="minorEastAsia" w:eastAsiaTheme="minorEastAsia" w:cstheme="minorEastAsia"/>
                <w:b/>
                <w:color w:val="auto"/>
                <w:sz w:val="24"/>
                <w:highlight w:val="none"/>
              </w:rPr>
            </w:pPr>
          </w:p>
        </w:tc>
        <w:tc>
          <w:tcPr>
            <w:tcW w:w="1559" w:type="dxa"/>
            <w:vAlign w:val="center"/>
          </w:tcPr>
          <w:p w14:paraId="116ED130">
            <w:pPr>
              <w:jc w:val="center"/>
              <w:rPr>
                <w:rFonts w:asciiTheme="minorEastAsia" w:hAnsiTheme="minorEastAsia" w:eastAsiaTheme="minorEastAsia" w:cstheme="minorEastAsia"/>
                <w:b/>
                <w:color w:val="auto"/>
                <w:sz w:val="24"/>
                <w:highlight w:val="none"/>
              </w:rPr>
            </w:pPr>
          </w:p>
        </w:tc>
        <w:tc>
          <w:tcPr>
            <w:tcW w:w="1276" w:type="dxa"/>
            <w:vMerge w:val="continue"/>
          </w:tcPr>
          <w:p w14:paraId="44C93D5F">
            <w:pPr>
              <w:jc w:val="center"/>
              <w:rPr>
                <w:rFonts w:asciiTheme="minorEastAsia" w:hAnsiTheme="minorEastAsia" w:eastAsiaTheme="minorEastAsia" w:cstheme="minorEastAsia"/>
                <w:b/>
                <w:color w:val="auto"/>
                <w:sz w:val="24"/>
                <w:highlight w:val="none"/>
              </w:rPr>
            </w:pPr>
          </w:p>
        </w:tc>
      </w:tr>
    </w:tbl>
    <w:p w14:paraId="7D579890">
      <w:pPr>
        <w:rPr>
          <w:rFonts w:asciiTheme="minorEastAsia" w:hAnsiTheme="minorEastAsia" w:eastAsiaTheme="minorEastAsia" w:cstheme="minorEastAsia"/>
          <w:color w:val="auto"/>
          <w:sz w:val="24"/>
          <w:highlight w:val="none"/>
        </w:rPr>
      </w:pPr>
    </w:p>
    <w:p w14:paraId="438C893D">
      <w:pPr>
        <w:pStyle w:val="3"/>
        <w:spacing w:before="156" w:beforeLines="50" w:after="156" w:afterLines="50" w:line="560" w:lineRule="exact"/>
        <w:jc w:val="left"/>
        <w:rPr>
          <w:rFonts w:asciiTheme="minorEastAsia" w:hAnsiTheme="minorEastAsia" w:eastAsiaTheme="minorEastAsia" w:cstheme="minorEastAsia"/>
          <w:color w:val="auto"/>
          <w:sz w:val="24"/>
          <w:szCs w:val="24"/>
          <w:highlight w:val="none"/>
        </w:rPr>
      </w:pPr>
      <w:bookmarkStart w:id="72" w:name="_Toc1727"/>
      <w:bookmarkStart w:id="73" w:name="_Toc23922"/>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bCs w:val="0"/>
          <w:color w:val="auto"/>
          <w:sz w:val="24"/>
          <w:szCs w:val="24"/>
          <w:highlight w:val="none"/>
        </w:rPr>
        <w:t>本表应清楚地标明供应商拟提供的服务费用等内容，其合计价格应与响应一览表中的总报价保持一致。</w:t>
      </w:r>
      <w:bookmarkEnd w:id="72"/>
      <w:bookmarkEnd w:id="73"/>
    </w:p>
    <w:p w14:paraId="5240B6A3">
      <w:pPr>
        <w:rPr>
          <w:rFonts w:asciiTheme="minorEastAsia" w:hAnsiTheme="minorEastAsia" w:eastAsiaTheme="minorEastAsia" w:cstheme="minorEastAsia"/>
          <w:color w:val="auto"/>
          <w:sz w:val="24"/>
          <w:highlight w:val="none"/>
        </w:rPr>
      </w:pPr>
    </w:p>
    <w:p w14:paraId="266DD948">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p>
    <w:p w14:paraId="1C162081">
      <w:pPr>
        <w:rPr>
          <w:color w:val="auto"/>
          <w:highlight w:val="none"/>
        </w:rPr>
      </w:pPr>
    </w:p>
    <w:p w14:paraId="0E5AD63F">
      <w:pPr>
        <w:pStyle w:val="3"/>
        <w:suppressLineNumbers/>
        <w:spacing w:before="156" w:beforeLines="50" w:after="156" w:afterLines="50" w:line="560" w:lineRule="exact"/>
        <w:rPr>
          <w:rFonts w:ascii="Times New Roman" w:hAnsi="Times New Roman" w:eastAsia="宋体"/>
          <w:b w:val="0"/>
          <w:bCs w:val="0"/>
          <w:color w:val="auto"/>
          <w:sz w:val="21"/>
          <w:szCs w:val="24"/>
          <w:highlight w:val="none"/>
        </w:rPr>
      </w:pPr>
    </w:p>
    <w:p w14:paraId="62D1126C">
      <w:pPr>
        <w:rPr>
          <w:color w:val="auto"/>
          <w:highlight w:val="none"/>
        </w:rPr>
      </w:pPr>
    </w:p>
    <w:p w14:paraId="1D5FD675">
      <w:pPr>
        <w:rPr>
          <w:rFonts w:ascii="宋体" w:hAnsi="宋体" w:cs="宋体"/>
          <w:color w:val="auto"/>
          <w:sz w:val="24"/>
          <w:highlight w:val="none"/>
        </w:rPr>
      </w:pPr>
      <w:r>
        <w:rPr>
          <w:rFonts w:hint="eastAsia" w:ascii="宋体" w:hAnsi="宋体" w:cs="宋体"/>
          <w:color w:val="auto"/>
          <w:sz w:val="24"/>
          <w:highlight w:val="none"/>
        </w:rPr>
        <w:br w:type="page"/>
      </w:r>
    </w:p>
    <w:p w14:paraId="6486358D">
      <w:pPr>
        <w:pStyle w:val="3"/>
        <w:spacing w:before="156" w:beforeLines="50" w:after="156" w:afterLines="50" w:line="560" w:lineRule="exact"/>
        <w:jc w:val="center"/>
        <w:rPr>
          <w:rFonts w:ascii="宋体" w:hAnsi="宋体" w:eastAsia="宋体" w:cs="宋体"/>
          <w:color w:val="auto"/>
          <w:sz w:val="24"/>
          <w:szCs w:val="24"/>
          <w:highlight w:val="none"/>
        </w:rPr>
      </w:pPr>
      <w:bookmarkStart w:id="74" w:name="_Toc27766"/>
      <w:bookmarkStart w:id="75" w:name="_Toc12441"/>
      <w:r>
        <w:rPr>
          <w:rFonts w:hint="eastAsia" w:ascii="宋体" w:hAnsi="宋体" w:eastAsia="宋体" w:cs="宋体"/>
          <w:color w:val="auto"/>
          <w:sz w:val="24"/>
          <w:szCs w:val="24"/>
          <w:highlight w:val="none"/>
        </w:rPr>
        <w:t>六、</w:t>
      </w:r>
      <w:bookmarkEnd w:id="67"/>
      <w:bookmarkStart w:id="76" w:name="_Toc18671569"/>
      <w:r>
        <w:rPr>
          <w:rFonts w:hint="eastAsia" w:ascii="宋体" w:hAnsi="宋体" w:eastAsia="宋体" w:cs="宋体"/>
          <w:color w:val="auto"/>
          <w:sz w:val="24"/>
          <w:szCs w:val="24"/>
          <w:highlight w:val="none"/>
        </w:rPr>
        <w:t>服务要求响应情况表</w:t>
      </w:r>
      <w:bookmarkEnd w:id="74"/>
      <w:bookmarkEnd w:id="75"/>
    </w:p>
    <w:p w14:paraId="5D97F22B">
      <w:pPr>
        <w:rPr>
          <w:rFonts w:asciiTheme="minorEastAsia" w:hAnsiTheme="minorEastAsia" w:eastAsiaTheme="minorEastAsia" w:cstheme="minorEastAsia"/>
          <w:color w:val="auto"/>
          <w:sz w:val="24"/>
          <w:highlight w:val="none"/>
        </w:rPr>
      </w:pPr>
    </w:p>
    <w:p w14:paraId="18924B6F">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采购人名称：                  </w:t>
      </w:r>
    </w:p>
    <w:p w14:paraId="72B94BA5">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采购代理名称：                </w:t>
      </w:r>
    </w:p>
    <w:p w14:paraId="4F9D33E2">
      <w:pPr>
        <w:widowControl/>
        <w:spacing w:line="560" w:lineRule="exact"/>
        <w:ind w:firstLine="600" w:firstLineChars="25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经过认真研究</w:t>
      </w:r>
      <w:r>
        <w:rPr>
          <w:rFonts w:hint="eastAsia" w:asciiTheme="minorEastAsia" w:hAnsiTheme="minorEastAsia" w:eastAsiaTheme="minorEastAsia" w:cstheme="minorEastAsia"/>
          <w:color w:val="auto"/>
          <w:kern w:val="0"/>
          <w:sz w:val="24"/>
          <w:highlight w:val="none"/>
          <w:u w:val="single"/>
        </w:rPr>
        <w:t>（项目名称）（项目编号）</w:t>
      </w:r>
      <w:r>
        <w:rPr>
          <w:rFonts w:hint="eastAsia" w:asciiTheme="minorEastAsia" w:hAnsiTheme="minorEastAsia" w:eastAsiaTheme="minorEastAsia" w:cstheme="minorEastAsia"/>
          <w:color w:val="auto"/>
          <w:kern w:val="0"/>
          <w:sz w:val="24"/>
          <w:highlight w:val="none"/>
        </w:rPr>
        <w:t>单一来源文件要求，我方确认，</w:t>
      </w:r>
      <w:r>
        <w:rPr>
          <w:rFonts w:hint="eastAsia" w:asciiTheme="minorEastAsia" w:hAnsiTheme="minorEastAsia" w:eastAsiaTheme="minorEastAsia" w:cstheme="minorEastAsia"/>
          <w:b/>
          <w:color w:val="auto"/>
          <w:kern w:val="0"/>
          <w:sz w:val="24"/>
          <w:highlight w:val="none"/>
        </w:rPr>
        <w:t>除下列偏离表所列情况外，我方响应情况全部为“符合”</w:t>
      </w:r>
      <w:r>
        <w:rPr>
          <w:rFonts w:hint="eastAsia" w:asciiTheme="minorEastAsia" w:hAnsiTheme="minorEastAsia" w:eastAsiaTheme="minorEastAsia" w:cstheme="minorEastAsia"/>
          <w:color w:val="auto"/>
          <w:kern w:val="0"/>
          <w:sz w:val="24"/>
          <w:highlight w:val="none"/>
        </w:rPr>
        <w:t>。</w:t>
      </w:r>
    </w:p>
    <w:p w14:paraId="0FA1EC49">
      <w:pPr>
        <w:widowControl/>
        <w:spacing w:line="60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服务要求偏离表</w:t>
      </w:r>
    </w:p>
    <w:tbl>
      <w:tblPr>
        <w:tblStyle w:val="16"/>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5"/>
        <w:gridCol w:w="2836"/>
        <w:gridCol w:w="2757"/>
        <w:gridCol w:w="2214"/>
      </w:tblGrid>
      <w:tr w14:paraId="59804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15" w:type="dxa"/>
            <w:tcBorders>
              <w:top w:val="single" w:color="auto" w:sz="4" w:space="0"/>
              <w:left w:val="single" w:color="auto" w:sz="4" w:space="0"/>
              <w:bottom w:val="single" w:color="auto" w:sz="4" w:space="0"/>
              <w:right w:val="single" w:color="auto" w:sz="4" w:space="0"/>
            </w:tcBorders>
            <w:vAlign w:val="center"/>
          </w:tcPr>
          <w:p w14:paraId="44C35007">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836" w:type="dxa"/>
            <w:tcBorders>
              <w:top w:val="single" w:color="auto" w:sz="4" w:space="0"/>
              <w:left w:val="single" w:color="auto" w:sz="4" w:space="0"/>
              <w:bottom w:val="single" w:color="auto" w:sz="4" w:space="0"/>
              <w:right w:val="single" w:color="auto" w:sz="4" w:space="0"/>
            </w:tcBorders>
            <w:vAlign w:val="center"/>
          </w:tcPr>
          <w:p w14:paraId="566D3BC2">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单一来源文件中要求</w:t>
            </w:r>
          </w:p>
        </w:tc>
        <w:tc>
          <w:tcPr>
            <w:tcW w:w="2757" w:type="dxa"/>
            <w:tcBorders>
              <w:top w:val="single" w:color="auto" w:sz="4" w:space="0"/>
              <w:left w:val="single" w:color="auto" w:sz="4" w:space="0"/>
              <w:bottom w:val="single" w:color="auto" w:sz="4" w:space="0"/>
              <w:right w:val="single" w:color="auto" w:sz="4" w:space="0"/>
            </w:tcBorders>
            <w:vAlign w:val="center"/>
          </w:tcPr>
          <w:p w14:paraId="320B7B28">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供应商的响应内容</w:t>
            </w:r>
          </w:p>
        </w:tc>
        <w:tc>
          <w:tcPr>
            <w:tcW w:w="2214" w:type="dxa"/>
            <w:tcBorders>
              <w:top w:val="single" w:color="auto" w:sz="4" w:space="0"/>
              <w:left w:val="single" w:color="auto" w:sz="4" w:space="0"/>
              <w:bottom w:val="single" w:color="auto" w:sz="4" w:space="0"/>
              <w:right w:val="single" w:color="auto" w:sz="4" w:space="0"/>
            </w:tcBorders>
            <w:vAlign w:val="center"/>
          </w:tcPr>
          <w:p w14:paraId="52DD58A0">
            <w:pPr>
              <w:widowControl/>
              <w:ind w:firstLine="361" w:firstLineChars="15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偏离及影响</w:t>
            </w:r>
          </w:p>
          <w:p w14:paraId="0C07D1BD">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（正偏离/负偏离）</w:t>
            </w:r>
          </w:p>
        </w:tc>
      </w:tr>
      <w:tr w14:paraId="2581E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715" w:type="dxa"/>
            <w:tcBorders>
              <w:top w:val="single" w:color="auto" w:sz="4" w:space="0"/>
              <w:left w:val="single" w:color="auto" w:sz="4" w:space="0"/>
              <w:bottom w:val="single" w:color="auto" w:sz="4" w:space="0"/>
              <w:right w:val="single" w:color="auto" w:sz="4" w:space="0"/>
            </w:tcBorders>
            <w:vAlign w:val="center"/>
          </w:tcPr>
          <w:p w14:paraId="69780D15">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836" w:type="dxa"/>
            <w:vAlign w:val="center"/>
          </w:tcPr>
          <w:p w14:paraId="3F5492F6">
            <w:pPr>
              <w:widowControl/>
              <w:jc w:val="left"/>
              <w:rPr>
                <w:rFonts w:hint="default" w:asciiTheme="minorEastAsia" w:hAnsiTheme="minorEastAsia" w:eastAsiaTheme="minorEastAsia" w:cstheme="minorEastAsia"/>
                <w:color w:val="auto"/>
                <w:kern w:val="0"/>
                <w:sz w:val="24"/>
                <w:highlight w:val="none"/>
                <w:lang w:val="en-US" w:eastAsia="zh-CN"/>
              </w:rPr>
            </w:pPr>
          </w:p>
        </w:tc>
        <w:tc>
          <w:tcPr>
            <w:tcW w:w="2757" w:type="dxa"/>
            <w:vAlign w:val="center"/>
          </w:tcPr>
          <w:p w14:paraId="218BEE5E">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2C4F3A31">
            <w:pPr>
              <w:widowControl/>
              <w:jc w:val="left"/>
              <w:rPr>
                <w:rFonts w:asciiTheme="minorEastAsia" w:hAnsiTheme="minorEastAsia" w:eastAsiaTheme="minorEastAsia" w:cstheme="minorEastAsia"/>
                <w:color w:val="auto"/>
                <w:kern w:val="0"/>
                <w:sz w:val="24"/>
                <w:highlight w:val="none"/>
              </w:rPr>
            </w:pPr>
          </w:p>
        </w:tc>
      </w:tr>
      <w:tr w14:paraId="5085F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715" w:type="dxa"/>
            <w:tcBorders>
              <w:top w:val="single" w:color="auto" w:sz="4" w:space="0"/>
              <w:left w:val="single" w:color="auto" w:sz="4" w:space="0"/>
              <w:bottom w:val="single" w:color="auto" w:sz="4" w:space="0"/>
              <w:right w:val="single" w:color="auto" w:sz="4" w:space="0"/>
            </w:tcBorders>
            <w:vAlign w:val="center"/>
          </w:tcPr>
          <w:p w14:paraId="68FABF05">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836" w:type="dxa"/>
            <w:vAlign w:val="center"/>
          </w:tcPr>
          <w:p w14:paraId="5E73DF6C">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36CBD596">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2BB22DA8">
            <w:pPr>
              <w:widowControl/>
              <w:jc w:val="left"/>
              <w:rPr>
                <w:rFonts w:asciiTheme="minorEastAsia" w:hAnsiTheme="minorEastAsia" w:eastAsiaTheme="minorEastAsia" w:cstheme="minorEastAsia"/>
                <w:color w:val="auto"/>
                <w:kern w:val="0"/>
                <w:sz w:val="24"/>
                <w:highlight w:val="none"/>
              </w:rPr>
            </w:pPr>
          </w:p>
        </w:tc>
      </w:tr>
      <w:tr w14:paraId="65168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715" w:type="dxa"/>
            <w:tcBorders>
              <w:top w:val="single" w:color="auto" w:sz="4" w:space="0"/>
              <w:left w:val="single" w:color="auto" w:sz="4" w:space="0"/>
              <w:bottom w:val="single" w:color="auto" w:sz="4" w:space="0"/>
              <w:right w:val="single" w:color="auto" w:sz="4" w:space="0"/>
            </w:tcBorders>
            <w:vAlign w:val="center"/>
          </w:tcPr>
          <w:p w14:paraId="263C0ECC">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836" w:type="dxa"/>
            <w:vAlign w:val="center"/>
          </w:tcPr>
          <w:p w14:paraId="629D5A2C">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653543C7">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1F2A5009">
            <w:pPr>
              <w:widowControl/>
              <w:jc w:val="left"/>
              <w:rPr>
                <w:rFonts w:asciiTheme="minorEastAsia" w:hAnsiTheme="minorEastAsia" w:eastAsiaTheme="minorEastAsia" w:cstheme="minorEastAsia"/>
                <w:color w:val="auto"/>
                <w:kern w:val="0"/>
                <w:sz w:val="24"/>
                <w:highlight w:val="none"/>
              </w:rPr>
            </w:pPr>
          </w:p>
        </w:tc>
      </w:tr>
      <w:tr w14:paraId="3F026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715" w:type="dxa"/>
            <w:tcBorders>
              <w:top w:val="single" w:color="auto" w:sz="4" w:space="0"/>
              <w:left w:val="single" w:color="auto" w:sz="4" w:space="0"/>
              <w:bottom w:val="single" w:color="auto" w:sz="4" w:space="0"/>
              <w:right w:val="single" w:color="auto" w:sz="4" w:space="0"/>
            </w:tcBorders>
            <w:vAlign w:val="center"/>
          </w:tcPr>
          <w:p w14:paraId="63FFA56A">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836" w:type="dxa"/>
            <w:vAlign w:val="center"/>
          </w:tcPr>
          <w:p w14:paraId="10B77BB0">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6B16455C">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1F45FA83">
            <w:pPr>
              <w:widowControl/>
              <w:jc w:val="left"/>
              <w:rPr>
                <w:rFonts w:asciiTheme="minorEastAsia" w:hAnsiTheme="minorEastAsia" w:eastAsiaTheme="minorEastAsia" w:cstheme="minorEastAsia"/>
                <w:color w:val="auto"/>
                <w:kern w:val="0"/>
                <w:sz w:val="24"/>
                <w:highlight w:val="none"/>
              </w:rPr>
            </w:pPr>
          </w:p>
        </w:tc>
      </w:tr>
    </w:tbl>
    <w:p w14:paraId="539382BF">
      <w:pPr>
        <w:spacing w:line="360" w:lineRule="auto"/>
        <w:rPr>
          <w:rFonts w:asciiTheme="minorEastAsia" w:hAnsiTheme="minorEastAsia" w:eastAsiaTheme="minorEastAsia" w:cstheme="minorEastAsia"/>
          <w:b/>
          <w:bCs/>
          <w:color w:val="auto"/>
          <w:sz w:val="24"/>
          <w:highlight w:val="none"/>
        </w:rPr>
      </w:pPr>
    </w:p>
    <w:p w14:paraId="116C80FD">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w:t>
      </w:r>
      <w:r>
        <w:rPr>
          <w:rFonts w:hint="eastAsia" w:asciiTheme="minorEastAsia" w:hAnsiTheme="minorEastAsia" w:eastAsiaTheme="minorEastAsia" w:cstheme="minorEastAsia"/>
          <w:b/>
          <w:bCs/>
          <w:color w:val="auto"/>
          <w:sz w:val="24"/>
          <w:highlight w:val="none"/>
          <w:lang w:val="en-US" w:eastAsia="zh-CN"/>
        </w:rPr>
        <w:t>盖章</w:t>
      </w:r>
      <w:r>
        <w:rPr>
          <w:rFonts w:hint="eastAsia" w:asciiTheme="minorEastAsia" w:hAnsiTheme="minorEastAsia" w:eastAsiaTheme="minorEastAsia" w:cstheme="minorEastAsia"/>
          <w:b/>
          <w:bCs/>
          <w:color w:val="auto"/>
          <w:sz w:val="24"/>
          <w:highlight w:val="none"/>
        </w:rPr>
        <w:t>：</w:t>
      </w:r>
    </w:p>
    <w:p w14:paraId="46491822">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6CB03031">
      <w:pPr>
        <w:rPr>
          <w:rFonts w:asciiTheme="minorEastAsia" w:hAnsiTheme="minorEastAsia" w:eastAsiaTheme="minorEastAsia" w:cstheme="minorEastAsia"/>
          <w:color w:val="auto"/>
          <w:kern w:val="0"/>
          <w:sz w:val="24"/>
          <w:highlight w:val="none"/>
        </w:rPr>
      </w:pPr>
    </w:p>
    <w:p w14:paraId="7B90451F">
      <w:pPr>
        <w:ind w:firstLine="5160" w:firstLineChars="2150"/>
        <w:rPr>
          <w:rFonts w:asciiTheme="minorEastAsia" w:hAnsiTheme="minorEastAsia" w:eastAsiaTheme="minorEastAsia" w:cstheme="minorEastAsia"/>
          <w:color w:val="auto"/>
          <w:kern w:val="0"/>
          <w:sz w:val="24"/>
          <w:highlight w:val="none"/>
        </w:rPr>
      </w:pPr>
    </w:p>
    <w:p w14:paraId="3383FD34">
      <w:pPr>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注：</w:t>
      </w:r>
    </w:p>
    <w:p w14:paraId="2F5B93ED">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服务要求偏离表中供应商的响应内容低于单一来源文件要求的，协商小组不寻求其他证明材料，直接判定该项要求为负偏离。</w:t>
      </w:r>
    </w:p>
    <w:p w14:paraId="7379DD41">
      <w:pPr>
        <w:pStyle w:val="3"/>
        <w:spacing w:before="156" w:beforeLines="50" w:after="156" w:afterLines="50" w:line="560" w:lineRule="exact"/>
        <w:jc w:val="center"/>
        <w:rPr>
          <w:rFonts w:ascii="宋体" w:hAnsi="宋体" w:cs="宋体"/>
          <w:color w:val="auto"/>
          <w:sz w:val="24"/>
          <w:highlight w:val="none"/>
        </w:rPr>
      </w:pPr>
      <w:r>
        <w:rPr>
          <w:rFonts w:hint="eastAsia" w:ascii="宋体" w:hAnsi="宋体" w:cs="宋体"/>
          <w:color w:val="auto"/>
          <w:sz w:val="24"/>
          <w:highlight w:val="none"/>
        </w:rPr>
        <w:br w:type="page"/>
      </w:r>
    </w:p>
    <w:bookmarkEnd w:id="68"/>
    <w:bookmarkEnd w:id="69"/>
    <w:bookmarkEnd w:id="76"/>
    <w:p w14:paraId="7578C221">
      <w:pPr>
        <w:pStyle w:val="3"/>
        <w:spacing w:before="156" w:beforeLines="50" w:after="156" w:afterLines="50" w:line="560" w:lineRule="exact"/>
        <w:jc w:val="center"/>
        <w:rPr>
          <w:rFonts w:ascii="宋体" w:hAnsi="宋体" w:eastAsia="宋体" w:cs="宋体"/>
          <w:color w:val="auto"/>
          <w:sz w:val="24"/>
          <w:szCs w:val="24"/>
          <w:highlight w:val="none"/>
        </w:rPr>
      </w:pPr>
      <w:bookmarkStart w:id="77" w:name="_Toc18671571"/>
      <w:bookmarkStart w:id="78" w:name="_Toc29403"/>
      <w:bookmarkStart w:id="79" w:name="_Toc2416"/>
      <w:r>
        <w:rPr>
          <w:rFonts w:hint="eastAsia" w:ascii="宋体" w:hAnsi="宋体" w:eastAsia="宋体" w:cs="宋体"/>
          <w:color w:val="auto"/>
          <w:sz w:val="24"/>
          <w:szCs w:val="24"/>
          <w:highlight w:val="none"/>
        </w:rPr>
        <w:t>七、方案</w:t>
      </w:r>
      <w:bookmarkEnd w:id="77"/>
      <w:bookmarkEnd w:id="78"/>
      <w:bookmarkEnd w:id="79"/>
    </w:p>
    <w:p w14:paraId="5553AB13">
      <w:pPr>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（一）</w:t>
      </w:r>
      <w:r>
        <w:rPr>
          <w:rFonts w:hint="eastAsia" w:ascii="宋体" w:hAnsi="宋体" w:cs="宋体"/>
          <w:b/>
          <w:color w:val="auto"/>
          <w:sz w:val="24"/>
          <w:highlight w:val="none"/>
        </w:rPr>
        <w:t>服务方案</w:t>
      </w:r>
    </w:p>
    <w:p w14:paraId="25D84803">
      <w:pPr>
        <w:spacing w:line="44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（二）质量及售后服务等</w:t>
      </w:r>
    </w:p>
    <w:p w14:paraId="28A4ED1A">
      <w:pPr>
        <w:spacing w:line="440" w:lineRule="exact"/>
        <w:ind w:firstLine="2706" w:firstLineChars="1123"/>
        <w:jc w:val="left"/>
        <w:rPr>
          <w:rFonts w:asciiTheme="minorEastAsia" w:hAnsiTheme="minorEastAsia" w:eastAsiaTheme="minorEastAsia" w:cstheme="minorEastAsia"/>
          <w:b/>
          <w:color w:val="auto"/>
          <w:sz w:val="24"/>
          <w:highlight w:val="none"/>
        </w:rPr>
      </w:pPr>
    </w:p>
    <w:p w14:paraId="59460D81">
      <w:pPr>
        <w:numPr>
          <w:ilvl w:val="0"/>
          <w:numId w:val="2"/>
        </w:numPr>
        <w:spacing w:before="156" w:beforeLines="50" w:after="156" w:afterLines="50" w:line="56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bookmarkStart w:id="80" w:name="_Toc30204"/>
      <w:bookmarkStart w:id="81" w:name="_Toc18671573"/>
      <w:bookmarkStart w:id="82" w:name="_Toc15376906"/>
      <w:bookmarkStart w:id="83" w:name="_Toc5683"/>
      <w:r>
        <w:rPr>
          <w:rStyle w:val="39"/>
          <w:rFonts w:hint="eastAsia" w:ascii="宋体" w:hAnsi="宋体" w:eastAsia="宋体" w:cs="宋体"/>
          <w:color w:val="auto"/>
          <w:sz w:val="24"/>
          <w:szCs w:val="24"/>
          <w:highlight w:val="none"/>
        </w:rPr>
        <w:t>联合体协议</w:t>
      </w:r>
      <w:bookmarkEnd w:id="80"/>
      <w:bookmarkEnd w:id="81"/>
      <w:bookmarkEnd w:id="82"/>
      <w:bookmarkEnd w:id="83"/>
    </w:p>
    <w:p w14:paraId="080CA607">
      <w:pPr>
        <w:jc w:val="center"/>
        <w:rPr>
          <w:rFonts w:asciiTheme="minorEastAsia" w:hAnsiTheme="minorEastAsia" w:eastAsiaTheme="minorEastAsia" w:cstheme="minorEastAsia"/>
          <w:color w:val="auto"/>
          <w:sz w:val="24"/>
          <w:highlight w:val="none"/>
        </w:rPr>
      </w:pPr>
      <w:r>
        <w:rPr>
          <w:rFonts w:hint="eastAsia"/>
          <w:color w:val="auto"/>
          <w:sz w:val="24"/>
          <w:highlight w:val="none"/>
        </w:rPr>
        <w:t>（不允许联合体投标或未组成联合体投标，不需此件）</w:t>
      </w:r>
    </w:p>
    <w:p w14:paraId="62E57FDF">
      <w:pPr>
        <w:rPr>
          <w:rFonts w:asciiTheme="minorEastAsia" w:hAnsiTheme="minorEastAsia" w:eastAsiaTheme="minorEastAsia" w:cstheme="minorEastAsia"/>
          <w:color w:val="auto"/>
          <w:sz w:val="24"/>
          <w:highlight w:val="none"/>
        </w:rPr>
      </w:pPr>
    </w:p>
    <w:p w14:paraId="17F7714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就“</w:t>
      </w:r>
      <w:r>
        <w:rPr>
          <w:rFonts w:hint="eastAsia" w:asciiTheme="minorEastAsia" w:hAnsiTheme="minorEastAsia" w:eastAsiaTheme="minorEastAsia" w:cstheme="minorEastAsia"/>
          <w:color w:val="auto"/>
          <w:sz w:val="24"/>
          <w:highlight w:val="none"/>
          <w:u w:val="single"/>
        </w:rPr>
        <w:t>某项目</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）的响应有关事宜，经充分协商一致，达成如下协议：</w:t>
      </w:r>
    </w:p>
    <w:p w14:paraId="42BF998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参加，组成联合体共同参加本项目的单一来源活动。</w:t>
      </w:r>
    </w:p>
    <w:p w14:paraId="453C8F2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为本次响应的主体方，联合体以主体方的名义参加单一来源活动。主体方负责单一来源项目的一切组织、协调工作，并授权代理人以联合体的名义参加项目的单一来源活动，代理人在参加单一来源活动过程中所签署的一切文件和处理与本次单一来源活动的有关一切事物，联合体各方均予以承认并承担法律责任。联合体成交后，联合体各方共同与采购人签订合同，就本项目对采购人承担连带责任。</w:t>
      </w:r>
    </w:p>
    <w:p w14:paraId="4357621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三、如联合体成交，则主体方负责</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等工作；参加方负责</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等工作。各方各自承担相应的责任。</w:t>
      </w:r>
    </w:p>
    <w:p w14:paraId="59299D9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四、各方不得再以自己名义单独在本项目中参加单一来源活动，也不得组成新的联合体参加本项目单一来源活动。</w:t>
      </w:r>
    </w:p>
    <w:p w14:paraId="361FBBF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五、参加方负责内容的合同金额占联合体协议合同总金额百分之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374DF83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六、主体方负责内容的合同金额占联合体协议合同总金额百分之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73CCF81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七、未成交，本协议自动废止。</w:t>
      </w:r>
    </w:p>
    <w:p w14:paraId="55BBA77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主体方：（公章）                       参加方：（公章）</w:t>
      </w:r>
    </w:p>
    <w:p w14:paraId="4558AF1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                           法定代表人： </w:t>
      </w:r>
    </w:p>
    <w:p w14:paraId="4F58CCB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                                 地址：</w:t>
      </w:r>
    </w:p>
    <w:p w14:paraId="6D8FDB2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                                 邮编：</w:t>
      </w:r>
    </w:p>
    <w:p w14:paraId="2F14F93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                                 电话：</w:t>
      </w:r>
    </w:p>
    <w:p w14:paraId="34511093">
      <w:pPr>
        <w:pStyle w:val="11"/>
        <w:spacing w:line="360" w:lineRule="auto"/>
        <w:rPr>
          <w:rFonts w:asciiTheme="minorEastAsia" w:hAnsiTheme="minorEastAsia" w:eastAsiaTheme="minorEastAsia" w:cstheme="minorEastAsia"/>
          <w:color w:val="auto"/>
          <w:szCs w:val="24"/>
          <w:highlight w:val="none"/>
        </w:rPr>
      </w:pPr>
    </w:p>
    <w:p w14:paraId="227F957D">
      <w:pPr>
        <w:rPr>
          <w:color w:val="auto"/>
          <w:highlight w:val="none"/>
        </w:rPr>
      </w:pPr>
    </w:p>
    <w:p w14:paraId="10012BEB">
      <w:pPr>
        <w:ind w:right="120"/>
        <w:jc w:val="righ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签订日期: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日</w:t>
      </w:r>
    </w:p>
    <w:p w14:paraId="0FCA1766">
      <w:pPr>
        <w:rPr>
          <w:rFonts w:hAnsi="宋体" w:cs="宋体"/>
          <w:color w:val="auto"/>
          <w:sz w:val="24"/>
          <w:szCs w:val="32"/>
          <w:highlight w:val="none"/>
        </w:rPr>
      </w:pPr>
      <w:r>
        <w:rPr>
          <w:rFonts w:hAnsi="宋体" w:cs="宋体"/>
          <w:color w:val="auto"/>
          <w:sz w:val="24"/>
          <w:szCs w:val="32"/>
          <w:highlight w:val="none"/>
        </w:rPr>
        <w:br w:type="page"/>
      </w:r>
    </w:p>
    <w:p w14:paraId="1BC85ABB">
      <w:pPr>
        <w:outlineLvl w:val="0"/>
        <w:rPr>
          <w:rStyle w:val="56"/>
          <w:rFonts w:hint="eastAsia" w:ascii="宋体" w:hAnsi="宋体" w:eastAsia="宋体" w:cs="宋体"/>
          <w:color w:val="auto"/>
          <w:sz w:val="24"/>
          <w:szCs w:val="24"/>
          <w:highlight w:val="none"/>
          <w:lang w:val="en-US" w:eastAsia="zh-CN"/>
        </w:rPr>
      </w:pPr>
      <w:bookmarkStart w:id="84" w:name="_Toc16262"/>
      <w:r>
        <w:rPr>
          <w:rStyle w:val="56"/>
          <w:rFonts w:hint="eastAsia" w:ascii="宋体" w:hAnsi="宋体" w:eastAsia="宋体" w:cs="宋体"/>
          <w:color w:val="auto"/>
          <w:sz w:val="24"/>
          <w:szCs w:val="24"/>
          <w:highlight w:val="none"/>
          <w:lang w:val="en-US" w:eastAsia="zh-CN"/>
        </w:rPr>
        <w:t>额外附件（无需编入响应文件）</w:t>
      </w:r>
      <w:bookmarkEnd w:id="84"/>
    </w:p>
    <w:p w14:paraId="11BF8D6E">
      <w:pPr>
        <w:spacing w:line="360" w:lineRule="auto"/>
        <w:jc w:val="center"/>
        <w:rPr>
          <w:rFonts w:hint="eastAsia" w:ascii="宋体" w:hAnsi="宋体" w:eastAsia="宋体" w:cs="宋体"/>
          <w:b/>
          <w:bCs w:val="0"/>
          <w:color w:val="auto"/>
          <w:sz w:val="24"/>
          <w:szCs w:val="24"/>
          <w:highlight w:val="none"/>
        </w:rPr>
      </w:pPr>
    </w:p>
    <w:p w14:paraId="7904B0BB">
      <w:pPr>
        <w:spacing w:line="360" w:lineRule="auto"/>
        <w:jc w:val="center"/>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第</w:t>
      </w: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lang w:val="en-US" w:eastAsia="zh-CN"/>
        </w:rPr>
        <w:t>轮</w:t>
      </w:r>
      <w:r>
        <w:rPr>
          <w:rFonts w:hint="eastAsia" w:ascii="宋体" w:hAnsi="宋体" w:eastAsia="宋体" w:cs="宋体"/>
          <w:b/>
          <w:bCs w:val="0"/>
          <w:color w:val="auto"/>
          <w:sz w:val="24"/>
          <w:szCs w:val="24"/>
          <w:highlight w:val="none"/>
        </w:rPr>
        <w:t>报价函</w:t>
      </w:r>
    </w:p>
    <w:p w14:paraId="391982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 ：</w:t>
      </w:r>
      <w:r>
        <w:rPr>
          <w:rFonts w:hint="eastAsia" w:ascii="宋体" w:hAnsi="宋体" w:eastAsia="宋体" w:cs="宋体"/>
          <w:bCs/>
          <w:color w:val="auto"/>
          <w:sz w:val="24"/>
          <w:szCs w:val="24"/>
          <w:highlight w:val="none"/>
          <w:u w:val="single"/>
        </w:rPr>
        <w:t>( 采购人</w:t>
      </w:r>
      <w:r>
        <w:rPr>
          <w:rFonts w:hint="eastAsia" w:ascii="宋体" w:hAnsi="宋体" w:eastAsia="宋体" w:cs="宋体"/>
          <w:bCs/>
          <w:color w:val="auto"/>
          <w:sz w:val="24"/>
          <w:szCs w:val="24"/>
          <w:highlight w:val="none"/>
          <w:u w:val="single"/>
          <w:lang w:val="en-US" w:eastAsia="zh-CN"/>
        </w:rPr>
        <w:t>名称</w:t>
      </w:r>
      <w:r>
        <w:rPr>
          <w:rFonts w:hint="eastAsia" w:ascii="宋体" w:hAnsi="宋体" w:eastAsia="宋体" w:cs="宋体"/>
          <w:bCs/>
          <w:color w:val="auto"/>
          <w:sz w:val="24"/>
          <w:szCs w:val="24"/>
          <w:highlight w:val="none"/>
          <w:u w:val="single"/>
        </w:rPr>
        <w:t xml:space="preserve"> )</w:t>
      </w:r>
    </w:p>
    <w:p w14:paraId="46513D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1、我方愿在前一轮</w:t>
      </w:r>
      <w:r>
        <w:rPr>
          <w:rFonts w:hint="eastAsia" w:ascii="宋体" w:hAnsi="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（响应文件）报价的基础上再次让利，让利后响应报价为人民币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元。如果我方有幸成为成交单位，报价费用为所委托项目范围内全部工作，该费用不再调整。</w:t>
      </w:r>
    </w:p>
    <w:p w14:paraId="2D20E0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2、其他部分与响应性文件内容一致。</w:t>
      </w:r>
    </w:p>
    <w:p w14:paraId="4A442B2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p>
    <w:p w14:paraId="195B10E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供应商：（盖</w:t>
      </w:r>
      <w:r>
        <w:rPr>
          <w:rFonts w:hint="eastAsia" w:ascii="宋体" w:hAnsi="宋体" w:eastAsia="宋体" w:cs="宋体"/>
          <w:bCs/>
          <w:color w:val="auto"/>
          <w:sz w:val="24"/>
          <w:szCs w:val="24"/>
          <w:highlight w:val="none"/>
          <w:lang w:val="en-US" w:eastAsia="zh-CN"/>
        </w:rPr>
        <w:t>公</w:t>
      </w:r>
      <w:r>
        <w:rPr>
          <w:rFonts w:hint="eastAsia" w:ascii="宋体" w:hAnsi="宋体" w:eastAsia="宋体" w:cs="宋体"/>
          <w:bCs/>
          <w:color w:val="auto"/>
          <w:sz w:val="24"/>
          <w:szCs w:val="24"/>
          <w:highlight w:val="none"/>
        </w:rPr>
        <w:t>章）</w:t>
      </w:r>
    </w:p>
    <w:p w14:paraId="1937A76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14:paraId="16DEF12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日期： 年  月  日 </w:t>
      </w:r>
    </w:p>
    <w:p w14:paraId="5CED3D01">
      <w:pPr>
        <w:spacing w:line="360" w:lineRule="auto"/>
        <w:jc w:val="center"/>
        <w:rPr>
          <w:rFonts w:hint="eastAsia" w:ascii="宋体" w:hAnsi="宋体" w:eastAsia="宋体" w:cs="宋体"/>
          <w:bCs/>
          <w:color w:val="auto"/>
          <w:sz w:val="24"/>
          <w:szCs w:val="24"/>
          <w:highlight w:val="none"/>
        </w:rPr>
      </w:pPr>
    </w:p>
    <w:p w14:paraId="631F7E2B">
      <w:pPr>
        <w:spacing w:line="360" w:lineRule="auto"/>
        <w:jc w:val="center"/>
        <w:rPr>
          <w:rFonts w:hint="eastAsia" w:ascii="宋体" w:hAnsi="宋体" w:eastAsia="宋体" w:cs="宋体"/>
          <w:bCs/>
          <w:color w:val="auto"/>
          <w:sz w:val="24"/>
          <w:szCs w:val="24"/>
          <w:highlight w:val="none"/>
        </w:rPr>
      </w:pPr>
    </w:p>
    <w:p w14:paraId="18034301">
      <w:pPr>
        <w:spacing w:line="360" w:lineRule="auto"/>
        <w:jc w:val="both"/>
        <w:rPr>
          <w:rFonts w:hint="eastAsia" w:ascii="宋体" w:hAnsi="宋体" w:eastAsia="宋体" w:cs="宋体"/>
          <w:bCs/>
          <w:color w:val="auto"/>
          <w:sz w:val="24"/>
          <w:szCs w:val="24"/>
          <w:highlight w:val="none"/>
        </w:rPr>
      </w:pPr>
    </w:p>
    <w:p w14:paraId="3784302C">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w:t>
      </w:r>
    </w:p>
    <w:p w14:paraId="6AB76A89">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最终报价单位为元，最多保留两位小数。</w:t>
      </w:r>
    </w:p>
    <w:p w14:paraId="5D4EE873">
      <w:pPr>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）各供应商单独备足空白“报价函”并加盖单位公章及签字，用于</w:t>
      </w:r>
      <w:r>
        <w:rPr>
          <w:rFonts w:hint="eastAsia" w:ascii="宋体" w:hAnsi="宋体" w:cs="宋体"/>
          <w:b/>
          <w:bCs w:val="0"/>
          <w:color w:val="auto"/>
          <w:sz w:val="24"/>
          <w:szCs w:val="24"/>
          <w:highlight w:val="none"/>
          <w:lang w:val="en-US" w:eastAsia="zh-CN"/>
        </w:rPr>
        <w:t>多</w:t>
      </w:r>
      <w:r>
        <w:rPr>
          <w:rFonts w:hint="eastAsia" w:ascii="宋体" w:hAnsi="宋体" w:eastAsia="宋体" w:cs="宋体"/>
          <w:b/>
          <w:bCs w:val="0"/>
          <w:color w:val="auto"/>
          <w:sz w:val="24"/>
          <w:szCs w:val="24"/>
          <w:highlight w:val="none"/>
          <w:lang w:val="en-US" w:eastAsia="zh-CN"/>
        </w:rPr>
        <w:t>次报价时填写。</w:t>
      </w:r>
    </w:p>
    <w:p w14:paraId="0F0BB8B6">
      <w:pPr>
        <w:pStyle w:val="15"/>
        <w:rPr>
          <w:color w:val="auto"/>
          <w:highlight w:val="none"/>
        </w:rPr>
      </w:pPr>
    </w:p>
    <w:sectPr>
      <w:headerReference r:id="rId6" w:type="default"/>
      <w:footerReference r:id="rId7" w:type="default"/>
      <w:footerReference r:id="rId8" w:type="even"/>
      <w:pgSz w:w="11906" w:h="16838"/>
      <w:pgMar w:top="1440" w:right="1800" w:bottom="1440" w:left="1800" w:header="1134"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1FB355-BE8F-473E-A763-ECFE974DB7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embedRegular r:id="rId2" w:fontKey="{C7F73D04-AB2E-4FF5-B6BD-4955E1C6AE41}"/>
  </w:font>
  <w:font w:name="DengXian ( 正文 )">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3" w:fontKey="{457A594C-22EC-4DBF-A1D3-C73B99CE373C}"/>
  </w:font>
  <w:font w:name="仿宋">
    <w:panose1 w:val="02010609060101010101"/>
    <w:charset w:val="86"/>
    <w:family w:val="auto"/>
    <w:pitch w:val="default"/>
    <w:sig w:usb0="800002BF" w:usb1="38CF7CFA" w:usb2="00000016" w:usb3="00000000" w:csb0="00040001" w:csb1="00000000"/>
    <w:embedRegular r:id="rId4" w:fontKey="{861BB527-FBC2-4BCB-81FA-89EAB5BBDE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54C6">
    <w:pPr>
      <w:pStyle w:val="8"/>
    </w:pPr>
  </w:p>
  <w:p w14:paraId="208197A1">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C0D17">
    <w:pPr>
      <w:pStyle w:val="8"/>
    </w:pPr>
  </w:p>
  <w:p w14:paraId="56990E38">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4FC1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67081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24670814">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4E65E8C">
    <w:pPr>
      <w:spacing w:line="220" w:lineRule="auto"/>
      <w:ind w:left="3323"/>
      <w:rPr>
        <w:rFonts w:ascii="宋体" w:hAnsi="宋体"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7D4E">
    <w:pPr>
      <w:pStyle w:val="8"/>
      <w:pBdr>
        <w:top w:val="single" w:color="auto" w:sz="4" w:space="1"/>
      </w:pBdr>
      <w:ind w:right="360"/>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592730">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73592730">
                    <w:pPr>
                      <w:pStyle w:val="8"/>
                    </w:pPr>
                    <w:r>
                      <w:fldChar w:fldCharType="begin"/>
                    </w:r>
                    <w:r>
                      <w:instrText xml:space="preserve"> PAGE  \* MERGEFORMAT </w:instrText>
                    </w:r>
                    <w:r>
                      <w:fldChar w:fldCharType="separate"/>
                    </w:r>
                    <w:r>
                      <w:t>15</w:t>
                    </w:r>
                    <w:r>
                      <w:fldChar w:fldCharType="end"/>
                    </w:r>
                  </w:p>
                </w:txbxContent>
              </v:textbox>
            </v:shape>
          </w:pict>
        </mc:Fallback>
      </mc:AlternateContent>
    </w:r>
  </w:p>
  <w:p w14:paraId="0C8DF09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C626F">
    <w:pPr>
      <w:pStyle w:val="8"/>
      <w:framePr w:wrap="around" w:vAnchor="text" w:hAnchor="margin" w:xAlign="right" w:y="1"/>
      <w:rPr>
        <w:rStyle w:val="20"/>
      </w:rPr>
    </w:pPr>
    <w:r>
      <w:fldChar w:fldCharType="begin"/>
    </w:r>
    <w:r>
      <w:rPr>
        <w:rStyle w:val="20"/>
      </w:rPr>
      <w:instrText xml:space="preserve">PAGE  </w:instrText>
    </w:r>
    <w:r>
      <w:fldChar w:fldCharType="end"/>
    </w:r>
  </w:p>
  <w:p w14:paraId="765583CD">
    <w:pPr>
      <w:pStyle w:val="8"/>
      <w:ind w:right="360"/>
    </w:pPr>
  </w:p>
  <w:p w14:paraId="7638102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5E0D">
    <w:pPr>
      <w:pStyle w:val="9"/>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1AAF7"/>
    <w:multiLevelType w:val="singleLevel"/>
    <w:tmpl w:val="C5B1AAF7"/>
    <w:lvl w:ilvl="0" w:tentative="0">
      <w:start w:val="1"/>
      <w:numFmt w:val="decimal"/>
      <w:suff w:val="nothing"/>
      <w:lvlText w:val="%1、"/>
      <w:lvlJc w:val="left"/>
    </w:lvl>
  </w:abstractNum>
  <w:abstractNum w:abstractNumId="1">
    <w:nsid w:val="57E98523"/>
    <w:multiLevelType w:val="singleLevel"/>
    <w:tmpl w:val="57E98523"/>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jEzMzcxZDFhZGY0NmM5MDk4M2EzNzI4YTQwNjQifQ=="/>
  </w:docVars>
  <w:rsids>
    <w:rsidRoot w:val="6EC727D8"/>
    <w:rsid w:val="000008DC"/>
    <w:rsid w:val="00074755"/>
    <w:rsid w:val="000D5B86"/>
    <w:rsid w:val="000E1F6C"/>
    <w:rsid w:val="000F7491"/>
    <w:rsid w:val="00107F7A"/>
    <w:rsid w:val="00124B60"/>
    <w:rsid w:val="001377B4"/>
    <w:rsid w:val="001531BC"/>
    <w:rsid w:val="001C7F21"/>
    <w:rsid w:val="001D0E19"/>
    <w:rsid w:val="00241BCE"/>
    <w:rsid w:val="002827D9"/>
    <w:rsid w:val="00310043"/>
    <w:rsid w:val="00325DD1"/>
    <w:rsid w:val="00330497"/>
    <w:rsid w:val="00337BD4"/>
    <w:rsid w:val="00360082"/>
    <w:rsid w:val="00370FA3"/>
    <w:rsid w:val="003D6EB2"/>
    <w:rsid w:val="003E7146"/>
    <w:rsid w:val="00441793"/>
    <w:rsid w:val="004C3D64"/>
    <w:rsid w:val="00502F86"/>
    <w:rsid w:val="00554AED"/>
    <w:rsid w:val="00573D8E"/>
    <w:rsid w:val="005B7F2A"/>
    <w:rsid w:val="005C36B3"/>
    <w:rsid w:val="005E629F"/>
    <w:rsid w:val="005F257E"/>
    <w:rsid w:val="005F31BF"/>
    <w:rsid w:val="0062612B"/>
    <w:rsid w:val="00643FFD"/>
    <w:rsid w:val="00664226"/>
    <w:rsid w:val="00664B49"/>
    <w:rsid w:val="006A1B74"/>
    <w:rsid w:val="00706B07"/>
    <w:rsid w:val="00737B01"/>
    <w:rsid w:val="00756192"/>
    <w:rsid w:val="007654C4"/>
    <w:rsid w:val="007679EB"/>
    <w:rsid w:val="00771506"/>
    <w:rsid w:val="007925A2"/>
    <w:rsid w:val="0079330D"/>
    <w:rsid w:val="007967C9"/>
    <w:rsid w:val="007B7190"/>
    <w:rsid w:val="007E4AEE"/>
    <w:rsid w:val="007F5FDC"/>
    <w:rsid w:val="008877ED"/>
    <w:rsid w:val="008B34A7"/>
    <w:rsid w:val="008E06AA"/>
    <w:rsid w:val="008E4B3E"/>
    <w:rsid w:val="008F5ACA"/>
    <w:rsid w:val="00910B63"/>
    <w:rsid w:val="00936ACC"/>
    <w:rsid w:val="0096212F"/>
    <w:rsid w:val="009C2971"/>
    <w:rsid w:val="009D484D"/>
    <w:rsid w:val="00A0731A"/>
    <w:rsid w:val="00A53F70"/>
    <w:rsid w:val="00A72BE0"/>
    <w:rsid w:val="00AB14BC"/>
    <w:rsid w:val="00AC096B"/>
    <w:rsid w:val="00AE137C"/>
    <w:rsid w:val="00AE30B0"/>
    <w:rsid w:val="00B0397C"/>
    <w:rsid w:val="00B11A1A"/>
    <w:rsid w:val="00B403CD"/>
    <w:rsid w:val="00B406C6"/>
    <w:rsid w:val="00B519D7"/>
    <w:rsid w:val="00B60525"/>
    <w:rsid w:val="00B75680"/>
    <w:rsid w:val="00B91F55"/>
    <w:rsid w:val="00B92E69"/>
    <w:rsid w:val="00B93C87"/>
    <w:rsid w:val="00BA0C8C"/>
    <w:rsid w:val="00BB413B"/>
    <w:rsid w:val="00BC12F0"/>
    <w:rsid w:val="00BC3B7F"/>
    <w:rsid w:val="00BD2778"/>
    <w:rsid w:val="00C73E3E"/>
    <w:rsid w:val="00C75E31"/>
    <w:rsid w:val="00C84172"/>
    <w:rsid w:val="00C905B8"/>
    <w:rsid w:val="00D009EA"/>
    <w:rsid w:val="00D40D69"/>
    <w:rsid w:val="00D45394"/>
    <w:rsid w:val="00D62FCB"/>
    <w:rsid w:val="00D64BD5"/>
    <w:rsid w:val="00D76247"/>
    <w:rsid w:val="00D90AFE"/>
    <w:rsid w:val="00D96E63"/>
    <w:rsid w:val="00DC661F"/>
    <w:rsid w:val="00DC6BD9"/>
    <w:rsid w:val="00DE4501"/>
    <w:rsid w:val="00E1437E"/>
    <w:rsid w:val="00E25D2A"/>
    <w:rsid w:val="00E37283"/>
    <w:rsid w:val="00E43CD1"/>
    <w:rsid w:val="00E6284A"/>
    <w:rsid w:val="00E815D1"/>
    <w:rsid w:val="00EC71D2"/>
    <w:rsid w:val="00ED4AA4"/>
    <w:rsid w:val="00EF7950"/>
    <w:rsid w:val="00F07E7E"/>
    <w:rsid w:val="00F24888"/>
    <w:rsid w:val="00F44726"/>
    <w:rsid w:val="00FA7A82"/>
    <w:rsid w:val="00FB3DFE"/>
    <w:rsid w:val="00FE651F"/>
    <w:rsid w:val="0119677B"/>
    <w:rsid w:val="01284C10"/>
    <w:rsid w:val="016C0FA1"/>
    <w:rsid w:val="016C134C"/>
    <w:rsid w:val="016C71F3"/>
    <w:rsid w:val="019948FF"/>
    <w:rsid w:val="019B3634"/>
    <w:rsid w:val="01A52705"/>
    <w:rsid w:val="01A73D87"/>
    <w:rsid w:val="01A7647D"/>
    <w:rsid w:val="01B110AA"/>
    <w:rsid w:val="01E054EB"/>
    <w:rsid w:val="01E62509"/>
    <w:rsid w:val="01F36FCC"/>
    <w:rsid w:val="022C6982"/>
    <w:rsid w:val="02313F99"/>
    <w:rsid w:val="02702D13"/>
    <w:rsid w:val="027352AD"/>
    <w:rsid w:val="02785724"/>
    <w:rsid w:val="028265A2"/>
    <w:rsid w:val="0288500D"/>
    <w:rsid w:val="0297204E"/>
    <w:rsid w:val="029F74CA"/>
    <w:rsid w:val="02A209F3"/>
    <w:rsid w:val="02A23F5D"/>
    <w:rsid w:val="02AB3D4B"/>
    <w:rsid w:val="02B04EBD"/>
    <w:rsid w:val="02BA5D3C"/>
    <w:rsid w:val="02DF7AA4"/>
    <w:rsid w:val="02E86730"/>
    <w:rsid w:val="02E903CF"/>
    <w:rsid w:val="02F72AEC"/>
    <w:rsid w:val="031B2C7F"/>
    <w:rsid w:val="03440AAD"/>
    <w:rsid w:val="03451AAA"/>
    <w:rsid w:val="03522419"/>
    <w:rsid w:val="035E4919"/>
    <w:rsid w:val="0365214C"/>
    <w:rsid w:val="036A1510"/>
    <w:rsid w:val="036F4D79"/>
    <w:rsid w:val="03AF33C7"/>
    <w:rsid w:val="03B14776"/>
    <w:rsid w:val="03B20153"/>
    <w:rsid w:val="03CF3A69"/>
    <w:rsid w:val="03D270B5"/>
    <w:rsid w:val="03E5328D"/>
    <w:rsid w:val="040A4AA1"/>
    <w:rsid w:val="040B2A74"/>
    <w:rsid w:val="04123CC2"/>
    <w:rsid w:val="043F474B"/>
    <w:rsid w:val="044955CA"/>
    <w:rsid w:val="045F6B9B"/>
    <w:rsid w:val="0461636B"/>
    <w:rsid w:val="047B14FB"/>
    <w:rsid w:val="04A4420B"/>
    <w:rsid w:val="04A96068"/>
    <w:rsid w:val="04FB16CE"/>
    <w:rsid w:val="0564343C"/>
    <w:rsid w:val="057E5747"/>
    <w:rsid w:val="0587339F"/>
    <w:rsid w:val="058D4B01"/>
    <w:rsid w:val="05CF2FDE"/>
    <w:rsid w:val="05E25CD6"/>
    <w:rsid w:val="05EA6938"/>
    <w:rsid w:val="05EF21A1"/>
    <w:rsid w:val="05F11A75"/>
    <w:rsid w:val="06622973"/>
    <w:rsid w:val="067D77AC"/>
    <w:rsid w:val="06952D48"/>
    <w:rsid w:val="06B342AD"/>
    <w:rsid w:val="06D25D4A"/>
    <w:rsid w:val="06D51397"/>
    <w:rsid w:val="06E15F8D"/>
    <w:rsid w:val="070F28B2"/>
    <w:rsid w:val="07477E74"/>
    <w:rsid w:val="075954A1"/>
    <w:rsid w:val="07937C68"/>
    <w:rsid w:val="07944DAE"/>
    <w:rsid w:val="07A20778"/>
    <w:rsid w:val="07A80859"/>
    <w:rsid w:val="07B733C4"/>
    <w:rsid w:val="07C338E5"/>
    <w:rsid w:val="07C5765D"/>
    <w:rsid w:val="07E06245"/>
    <w:rsid w:val="07ED349A"/>
    <w:rsid w:val="08055CAB"/>
    <w:rsid w:val="08092B10"/>
    <w:rsid w:val="080C528C"/>
    <w:rsid w:val="087E15BA"/>
    <w:rsid w:val="0888779C"/>
    <w:rsid w:val="088968DD"/>
    <w:rsid w:val="08A40A20"/>
    <w:rsid w:val="08A47272"/>
    <w:rsid w:val="08CE2E53"/>
    <w:rsid w:val="08D12A6B"/>
    <w:rsid w:val="08D538D0"/>
    <w:rsid w:val="08F024B8"/>
    <w:rsid w:val="08F655F4"/>
    <w:rsid w:val="09122521"/>
    <w:rsid w:val="091A3FB8"/>
    <w:rsid w:val="094822F4"/>
    <w:rsid w:val="09541963"/>
    <w:rsid w:val="095A6680"/>
    <w:rsid w:val="09732A37"/>
    <w:rsid w:val="097C116F"/>
    <w:rsid w:val="09971291"/>
    <w:rsid w:val="09A21F4E"/>
    <w:rsid w:val="09AC2C7C"/>
    <w:rsid w:val="09B65954"/>
    <w:rsid w:val="09D15427"/>
    <w:rsid w:val="09D405A0"/>
    <w:rsid w:val="09DE67B4"/>
    <w:rsid w:val="0A075837"/>
    <w:rsid w:val="0A08006A"/>
    <w:rsid w:val="0A210AF1"/>
    <w:rsid w:val="0A280703"/>
    <w:rsid w:val="0A4834A5"/>
    <w:rsid w:val="0A495578"/>
    <w:rsid w:val="0A4C5E14"/>
    <w:rsid w:val="0A5B0423"/>
    <w:rsid w:val="0A5C3C67"/>
    <w:rsid w:val="0A5D1DCF"/>
    <w:rsid w:val="0A726EFC"/>
    <w:rsid w:val="0A9607F5"/>
    <w:rsid w:val="0AAB0D8C"/>
    <w:rsid w:val="0AB1595C"/>
    <w:rsid w:val="0AD55E09"/>
    <w:rsid w:val="0AFA5870"/>
    <w:rsid w:val="0B0D1F83"/>
    <w:rsid w:val="0B1C059C"/>
    <w:rsid w:val="0B316DB7"/>
    <w:rsid w:val="0B344594"/>
    <w:rsid w:val="0B402762"/>
    <w:rsid w:val="0BA772D1"/>
    <w:rsid w:val="0BCF2F63"/>
    <w:rsid w:val="0BD32EFE"/>
    <w:rsid w:val="0BEA7692"/>
    <w:rsid w:val="0C177D5B"/>
    <w:rsid w:val="0C3C77C2"/>
    <w:rsid w:val="0C43404D"/>
    <w:rsid w:val="0C450D6C"/>
    <w:rsid w:val="0C656D19"/>
    <w:rsid w:val="0C831895"/>
    <w:rsid w:val="0CA248BC"/>
    <w:rsid w:val="0CA75589"/>
    <w:rsid w:val="0CAD246E"/>
    <w:rsid w:val="0CAF61E6"/>
    <w:rsid w:val="0CD0364E"/>
    <w:rsid w:val="0CE75980"/>
    <w:rsid w:val="0CF92A3E"/>
    <w:rsid w:val="0D1843F4"/>
    <w:rsid w:val="0D3A01A5"/>
    <w:rsid w:val="0D417786"/>
    <w:rsid w:val="0D4728C2"/>
    <w:rsid w:val="0D592054"/>
    <w:rsid w:val="0D614AED"/>
    <w:rsid w:val="0D851A87"/>
    <w:rsid w:val="0D896A37"/>
    <w:rsid w:val="0D925950"/>
    <w:rsid w:val="0D951880"/>
    <w:rsid w:val="0DB735A4"/>
    <w:rsid w:val="0DBA3094"/>
    <w:rsid w:val="0DC12675"/>
    <w:rsid w:val="0DCB52A1"/>
    <w:rsid w:val="0DD51251"/>
    <w:rsid w:val="0DED2C29"/>
    <w:rsid w:val="0DEE39B4"/>
    <w:rsid w:val="0E3833DA"/>
    <w:rsid w:val="0E4B725D"/>
    <w:rsid w:val="0E572FD9"/>
    <w:rsid w:val="0EB94E27"/>
    <w:rsid w:val="0EE91E83"/>
    <w:rsid w:val="0EEF6D6E"/>
    <w:rsid w:val="0EFD148A"/>
    <w:rsid w:val="0F00663B"/>
    <w:rsid w:val="0F024CF3"/>
    <w:rsid w:val="0F0C791F"/>
    <w:rsid w:val="0F1A4EA2"/>
    <w:rsid w:val="0F323C80"/>
    <w:rsid w:val="0F386966"/>
    <w:rsid w:val="0F470958"/>
    <w:rsid w:val="0F515C7A"/>
    <w:rsid w:val="0F53554E"/>
    <w:rsid w:val="0F5372FC"/>
    <w:rsid w:val="0F692FC4"/>
    <w:rsid w:val="0F707EAE"/>
    <w:rsid w:val="0F827BE2"/>
    <w:rsid w:val="0F957915"/>
    <w:rsid w:val="0FAC2EB1"/>
    <w:rsid w:val="0FAD1102"/>
    <w:rsid w:val="0FB3426A"/>
    <w:rsid w:val="10044A9B"/>
    <w:rsid w:val="1008681F"/>
    <w:rsid w:val="100F5919"/>
    <w:rsid w:val="10260EB5"/>
    <w:rsid w:val="106F280D"/>
    <w:rsid w:val="107439CE"/>
    <w:rsid w:val="107E158A"/>
    <w:rsid w:val="10C2298C"/>
    <w:rsid w:val="10D161C4"/>
    <w:rsid w:val="10DB57FB"/>
    <w:rsid w:val="10F44B0F"/>
    <w:rsid w:val="11124F95"/>
    <w:rsid w:val="11545714"/>
    <w:rsid w:val="115B2DE0"/>
    <w:rsid w:val="115C2EBC"/>
    <w:rsid w:val="116003F7"/>
    <w:rsid w:val="11665A0D"/>
    <w:rsid w:val="11A1491C"/>
    <w:rsid w:val="11B5111E"/>
    <w:rsid w:val="11C40985"/>
    <w:rsid w:val="11D02E86"/>
    <w:rsid w:val="11D566EF"/>
    <w:rsid w:val="11DF756D"/>
    <w:rsid w:val="11FA6155"/>
    <w:rsid w:val="12260CF8"/>
    <w:rsid w:val="124318AA"/>
    <w:rsid w:val="12535865"/>
    <w:rsid w:val="125735A8"/>
    <w:rsid w:val="12647A72"/>
    <w:rsid w:val="12696E37"/>
    <w:rsid w:val="12751C80"/>
    <w:rsid w:val="12865C3B"/>
    <w:rsid w:val="128C7765"/>
    <w:rsid w:val="12A2123C"/>
    <w:rsid w:val="12B04A66"/>
    <w:rsid w:val="12CD5618"/>
    <w:rsid w:val="12DB2E87"/>
    <w:rsid w:val="12E110C3"/>
    <w:rsid w:val="13023513"/>
    <w:rsid w:val="131775E8"/>
    <w:rsid w:val="1334693B"/>
    <w:rsid w:val="134753CA"/>
    <w:rsid w:val="13541895"/>
    <w:rsid w:val="135B124E"/>
    <w:rsid w:val="13653AA2"/>
    <w:rsid w:val="13685340"/>
    <w:rsid w:val="137B5074"/>
    <w:rsid w:val="13936861"/>
    <w:rsid w:val="139525D9"/>
    <w:rsid w:val="13E04764"/>
    <w:rsid w:val="14101C60"/>
    <w:rsid w:val="141D437D"/>
    <w:rsid w:val="141F1A80"/>
    <w:rsid w:val="142E6509"/>
    <w:rsid w:val="1433594E"/>
    <w:rsid w:val="143811B7"/>
    <w:rsid w:val="14812B5E"/>
    <w:rsid w:val="148E0DD7"/>
    <w:rsid w:val="1497412F"/>
    <w:rsid w:val="14BB78A8"/>
    <w:rsid w:val="14D727D0"/>
    <w:rsid w:val="14D7452C"/>
    <w:rsid w:val="14E07884"/>
    <w:rsid w:val="150D1F93"/>
    <w:rsid w:val="150F3CC6"/>
    <w:rsid w:val="1565422D"/>
    <w:rsid w:val="15712BD2"/>
    <w:rsid w:val="1574621E"/>
    <w:rsid w:val="157B34A2"/>
    <w:rsid w:val="15C64088"/>
    <w:rsid w:val="15EE4223"/>
    <w:rsid w:val="160C6457"/>
    <w:rsid w:val="161517B0"/>
    <w:rsid w:val="161A5018"/>
    <w:rsid w:val="161C0D90"/>
    <w:rsid w:val="161E0F3C"/>
    <w:rsid w:val="161E145D"/>
    <w:rsid w:val="163A2FC4"/>
    <w:rsid w:val="16436D08"/>
    <w:rsid w:val="16450281"/>
    <w:rsid w:val="164976AB"/>
    <w:rsid w:val="166D5BA5"/>
    <w:rsid w:val="167364D6"/>
    <w:rsid w:val="168626AD"/>
    <w:rsid w:val="16871B76"/>
    <w:rsid w:val="16923636"/>
    <w:rsid w:val="16BD4EA7"/>
    <w:rsid w:val="16BE59A3"/>
    <w:rsid w:val="16D01B7A"/>
    <w:rsid w:val="16DC7F11"/>
    <w:rsid w:val="16E16F3A"/>
    <w:rsid w:val="16E41182"/>
    <w:rsid w:val="16F45869"/>
    <w:rsid w:val="170B670F"/>
    <w:rsid w:val="172C2525"/>
    <w:rsid w:val="17377504"/>
    <w:rsid w:val="173C4B1A"/>
    <w:rsid w:val="175C51BC"/>
    <w:rsid w:val="175D340E"/>
    <w:rsid w:val="175E0F34"/>
    <w:rsid w:val="175E6B6A"/>
    <w:rsid w:val="1768590F"/>
    <w:rsid w:val="176A436F"/>
    <w:rsid w:val="176C53FF"/>
    <w:rsid w:val="178A3AD7"/>
    <w:rsid w:val="178A7F7B"/>
    <w:rsid w:val="17B07BF3"/>
    <w:rsid w:val="17B648CC"/>
    <w:rsid w:val="17C678CB"/>
    <w:rsid w:val="17D36241"/>
    <w:rsid w:val="17EC4792"/>
    <w:rsid w:val="181635BD"/>
    <w:rsid w:val="18267CA4"/>
    <w:rsid w:val="18291542"/>
    <w:rsid w:val="18365A0D"/>
    <w:rsid w:val="18381785"/>
    <w:rsid w:val="18702CCD"/>
    <w:rsid w:val="188B3FAB"/>
    <w:rsid w:val="18A40BC9"/>
    <w:rsid w:val="18BD045D"/>
    <w:rsid w:val="18C43019"/>
    <w:rsid w:val="18C46CF3"/>
    <w:rsid w:val="18DC0363"/>
    <w:rsid w:val="18FB6DC4"/>
    <w:rsid w:val="18FD1A72"/>
    <w:rsid w:val="18FF22A3"/>
    <w:rsid w:val="19137AFC"/>
    <w:rsid w:val="191C4C03"/>
    <w:rsid w:val="19326F59"/>
    <w:rsid w:val="19B80DD0"/>
    <w:rsid w:val="19D379B8"/>
    <w:rsid w:val="19FD4A34"/>
    <w:rsid w:val="1A07140F"/>
    <w:rsid w:val="1A0C7826"/>
    <w:rsid w:val="1A1104E0"/>
    <w:rsid w:val="1A136006"/>
    <w:rsid w:val="1A2F1DF7"/>
    <w:rsid w:val="1A437ED6"/>
    <w:rsid w:val="1A525767"/>
    <w:rsid w:val="1A69031C"/>
    <w:rsid w:val="1A815666"/>
    <w:rsid w:val="1AB01AA7"/>
    <w:rsid w:val="1ACB068F"/>
    <w:rsid w:val="1ADA4D76"/>
    <w:rsid w:val="1AF75EF5"/>
    <w:rsid w:val="1AFD0A64"/>
    <w:rsid w:val="1B0B5973"/>
    <w:rsid w:val="1B102545"/>
    <w:rsid w:val="1B133E17"/>
    <w:rsid w:val="1B177D78"/>
    <w:rsid w:val="1B3E5305"/>
    <w:rsid w:val="1B544B28"/>
    <w:rsid w:val="1B8371BB"/>
    <w:rsid w:val="1BA01BB2"/>
    <w:rsid w:val="1BB455C7"/>
    <w:rsid w:val="1BC577D4"/>
    <w:rsid w:val="1BD417C5"/>
    <w:rsid w:val="1BE0460E"/>
    <w:rsid w:val="1BF80FCF"/>
    <w:rsid w:val="1C1553FF"/>
    <w:rsid w:val="1C283304"/>
    <w:rsid w:val="1C3B7A96"/>
    <w:rsid w:val="1C534DE0"/>
    <w:rsid w:val="1C641230"/>
    <w:rsid w:val="1C9F0025"/>
    <w:rsid w:val="1CA27B15"/>
    <w:rsid w:val="1CAB5C51"/>
    <w:rsid w:val="1CAC2742"/>
    <w:rsid w:val="1CAC3B3D"/>
    <w:rsid w:val="1CB533A4"/>
    <w:rsid w:val="1CBA4E5F"/>
    <w:rsid w:val="1CC400CA"/>
    <w:rsid w:val="1CCC06EE"/>
    <w:rsid w:val="1CD2349E"/>
    <w:rsid w:val="1CED18DB"/>
    <w:rsid w:val="1CFE11EF"/>
    <w:rsid w:val="1D022362"/>
    <w:rsid w:val="1D0866CB"/>
    <w:rsid w:val="1D1E3640"/>
    <w:rsid w:val="1D3159D0"/>
    <w:rsid w:val="1D3D339A"/>
    <w:rsid w:val="1D3F7112"/>
    <w:rsid w:val="1D4209B0"/>
    <w:rsid w:val="1D530C7D"/>
    <w:rsid w:val="1D632B53"/>
    <w:rsid w:val="1D664EF6"/>
    <w:rsid w:val="1D6B43AB"/>
    <w:rsid w:val="1D6D0123"/>
    <w:rsid w:val="1D7B2840"/>
    <w:rsid w:val="1D940DB0"/>
    <w:rsid w:val="1DA72630"/>
    <w:rsid w:val="1DC835AB"/>
    <w:rsid w:val="1DDC7057"/>
    <w:rsid w:val="1DE960B7"/>
    <w:rsid w:val="1DEF77E3"/>
    <w:rsid w:val="1DFB74DD"/>
    <w:rsid w:val="1E110AAE"/>
    <w:rsid w:val="1E220F0E"/>
    <w:rsid w:val="1E2527AC"/>
    <w:rsid w:val="1E3173A3"/>
    <w:rsid w:val="1E3D5D47"/>
    <w:rsid w:val="1E8821E9"/>
    <w:rsid w:val="1F095C2A"/>
    <w:rsid w:val="1F242A63"/>
    <w:rsid w:val="1F396124"/>
    <w:rsid w:val="1F3A5DE3"/>
    <w:rsid w:val="1F422EEA"/>
    <w:rsid w:val="1F5A0233"/>
    <w:rsid w:val="1F5A6485"/>
    <w:rsid w:val="1F5F074C"/>
    <w:rsid w:val="1F647304"/>
    <w:rsid w:val="1F95570F"/>
    <w:rsid w:val="1FE521F3"/>
    <w:rsid w:val="1FEB532F"/>
    <w:rsid w:val="2001472C"/>
    <w:rsid w:val="20014B53"/>
    <w:rsid w:val="20016901"/>
    <w:rsid w:val="20197259"/>
    <w:rsid w:val="203B19C0"/>
    <w:rsid w:val="20803CC9"/>
    <w:rsid w:val="20A51982"/>
    <w:rsid w:val="20A73065"/>
    <w:rsid w:val="20A83220"/>
    <w:rsid w:val="20B16579"/>
    <w:rsid w:val="20C46ABB"/>
    <w:rsid w:val="20CC72B6"/>
    <w:rsid w:val="20DB35F6"/>
    <w:rsid w:val="20E06E5E"/>
    <w:rsid w:val="21052AC9"/>
    <w:rsid w:val="210669F5"/>
    <w:rsid w:val="21182CA5"/>
    <w:rsid w:val="21224918"/>
    <w:rsid w:val="21246D4B"/>
    <w:rsid w:val="2126612C"/>
    <w:rsid w:val="2130749E"/>
    <w:rsid w:val="2139763B"/>
    <w:rsid w:val="214B166A"/>
    <w:rsid w:val="2197751D"/>
    <w:rsid w:val="21983295"/>
    <w:rsid w:val="219C7306"/>
    <w:rsid w:val="219C7685"/>
    <w:rsid w:val="21A51C1A"/>
    <w:rsid w:val="21B6299C"/>
    <w:rsid w:val="21B87493"/>
    <w:rsid w:val="21C83B7A"/>
    <w:rsid w:val="21CA1C53"/>
    <w:rsid w:val="21FC7CC7"/>
    <w:rsid w:val="21FE759C"/>
    <w:rsid w:val="221E7C3E"/>
    <w:rsid w:val="222F1E4B"/>
    <w:rsid w:val="223F5AB8"/>
    <w:rsid w:val="226002D5"/>
    <w:rsid w:val="22791FE0"/>
    <w:rsid w:val="22943A5C"/>
    <w:rsid w:val="22A16179"/>
    <w:rsid w:val="22A30143"/>
    <w:rsid w:val="22B10AB2"/>
    <w:rsid w:val="22B66D05"/>
    <w:rsid w:val="22BA5184"/>
    <w:rsid w:val="22CC1448"/>
    <w:rsid w:val="22F62969"/>
    <w:rsid w:val="22FD3CF7"/>
    <w:rsid w:val="23047D7C"/>
    <w:rsid w:val="23122DE5"/>
    <w:rsid w:val="231A178A"/>
    <w:rsid w:val="23393203"/>
    <w:rsid w:val="233D205C"/>
    <w:rsid w:val="234B73CC"/>
    <w:rsid w:val="23515DF1"/>
    <w:rsid w:val="2358717F"/>
    <w:rsid w:val="235F22BC"/>
    <w:rsid w:val="237C10C0"/>
    <w:rsid w:val="23812232"/>
    <w:rsid w:val="238A7DBA"/>
    <w:rsid w:val="239312F5"/>
    <w:rsid w:val="23980A4F"/>
    <w:rsid w:val="23AD74CB"/>
    <w:rsid w:val="23AE4FF1"/>
    <w:rsid w:val="23C465C3"/>
    <w:rsid w:val="23C87E61"/>
    <w:rsid w:val="23CB5BA3"/>
    <w:rsid w:val="23DC1B5F"/>
    <w:rsid w:val="23FC5D5D"/>
    <w:rsid w:val="24044C11"/>
    <w:rsid w:val="240F3CE2"/>
    <w:rsid w:val="24107A5A"/>
    <w:rsid w:val="24253506"/>
    <w:rsid w:val="242D4168"/>
    <w:rsid w:val="24341EB9"/>
    <w:rsid w:val="2435126F"/>
    <w:rsid w:val="24373239"/>
    <w:rsid w:val="244D65B8"/>
    <w:rsid w:val="244F0582"/>
    <w:rsid w:val="245416F5"/>
    <w:rsid w:val="245B0CD5"/>
    <w:rsid w:val="245B7E1B"/>
    <w:rsid w:val="24724271"/>
    <w:rsid w:val="247B3126"/>
    <w:rsid w:val="247E76DD"/>
    <w:rsid w:val="2480073C"/>
    <w:rsid w:val="24A32B10"/>
    <w:rsid w:val="24B808B0"/>
    <w:rsid w:val="24F609FE"/>
    <w:rsid w:val="250274DC"/>
    <w:rsid w:val="250749B9"/>
    <w:rsid w:val="251009E1"/>
    <w:rsid w:val="25237319"/>
    <w:rsid w:val="25461985"/>
    <w:rsid w:val="255319AC"/>
    <w:rsid w:val="255816B9"/>
    <w:rsid w:val="25665B84"/>
    <w:rsid w:val="25787665"/>
    <w:rsid w:val="25A246E2"/>
    <w:rsid w:val="25A428FF"/>
    <w:rsid w:val="25C26B32"/>
    <w:rsid w:val="25CB1E8B"/>
    <w:rsid w:val="25CD5AD7"/>
    <w:rsid w:val="25F50CB6"/>
    <w:rsid w:val="2604634A"/>
    <w:rsid w:val="26062EC3"/>
    <w:rsid w:val="260F621B"/>
    <w:rsid w:val="26211AAB"/>
    <w:rsid w:val="262670C1"/>
    <w:rsid w:val="2633160E"/>
    <w:rsid w:val="265C24B0"/>
    <w:rsid w:val="2696426F"/>
    <w:rsid w:val="2697245B"/>
    <w:rsid w:val="269A4809"/>
    <w:rsid w:val="26A024D9"/>
    <w:rsid w:val="26A338B2"/>
    <w:rsid w:val="26A821CC"/>
    <w:rsid w:val="26A84A0A"/>
    <w:rsid w:val="26A85D28"/>
    <w:rsid w:val="26B172D2"/>
    <w:rsid w:val="26B50445"/>
    <w:rsid w:val="26CD1546"/>
    <w:rsid w:val="26E641FB"/>
    <w:rsid w:val="26EC030B"/>
    <w:rsid w:val="26ED5E31"/>
    <w:rsid w:val="270C275B"/>
    <w:rsid w:val="27361586"/>
    <w:rsid w:val="274517C9"/>
    <w:rsid w:val="274A6DDF"/>
    <w:rsid w:val="275807AF"/>
    <w:rsid w:val="2768712B"/>
    <w:rsid w:val="277D71B5"/>
    <w:rsid w:val="27B90C4D"/>
    <w:rsid w:val="27CA2B44"/>
    <w:rsid w:val="28043B56"/>
    <w:rsid w:val="280B3CFB"/>
    <w:rsid w:val="280B656E"/>
    <w:rsid w:val="28734E32"/>
    <w:rsid w:val="288051AE"/>
    <w:rsid w:val="289C366A"/>
    <w:rsid w:val="28B72697"/>
    <w:rsid w:val="28BB09C3"/>
    <w:rsid w:val="28CB1816"/>
    <w:rsid w:val="28E31299"/>
    <w:rsid w:val="28E60D8A"/>
    <w:rsid w:val="29665200"/>
    <w:rsid w:val="296672B1"/>
    <w:rsid w:val="298365D8"/>
    <w:rsid w:val="29A273A6"/>
    <w:rsid w:val="29D357B2"/>
    <w:rsid w:val="29E67293"/>
    <w:rsid w:val="29FA0F90"/>
    <w:rsid w:val="2A046DA4"/>
    <w:rsid w:val="2A3E70CF"/>
    <w:rsid w:val="2A5A558B"/>
    <w:rsid w:val="2A5E66E7"/>
    <w:rsid w:val="2A6308E4"/>
    <w:rsid w:val="2A693A20"/>
    <w:rsid w:val="2A915A0E"/>
    <w:rsid w:val="2A9D3745"/>
    <w:rsid w:val="2AB2780B"/>
    <w:rsid w:val="2AB7478C"/>
    <w:rsid w:val="2ACD0453"/>
    <w:rsid w:val="2ACF41CB"/>
    <w:rsid w:val="2AD90BA6"/>
    <w:rsid w:val="2AEA0A59"/>
    <w:rsid w:val="2AF849C9"/>
    <w:rsid w:val="2B0602BE"/>
    <w:rsid w:val="2B2A1401"/>
    <w:rsid w:val="2B724B56"/>
    <w:rsid w:val="2B7663F5"/>
    <w:rsid w:val="2BB1633C"/>
    <w:rsid w:val="2BB313F7"/>
    <w:rsid w:val="2BDD46C6"/>
    <w:rsid w:val="2BE5357A"/>
    <w:rsid w:val="2C1D0F66"/>
    <w:rsid w:val="2C210F6D"/>
    <w:rsid w:val="2C2B5431"/>
    <w:rsid w:val="2C4B5AD3"/>
    <w:rsid w:val="2C7A3CC3"/>
    <w:rsid w:val="2C7F39CF"/>
    <w:rsid w:val="2CA945A8"/>
    <w:rsid w:val="2CBA0563"/>
    <w:rsid w:val="2CD71115"/>
    <w:rsid w:val="2CDF639B"/>
    <w:rsid w:val="2CE82102"/>
    <w:rsid w:val="2CEA709A"/>
    <w:rsid w:val="2D0A14EA"/>
    <w:rsid w:val="2D1660E1"/>
    <w:rsid w:val="2D3B71AD"/>
    <w:rsid w:val="2D443D65"/>
    <w:rsid w:val="2D4A18E7"/>
    <w:rsid w:val="2D5D3C4E"/>
    <w:rsid w:val="2D8E201B"/>
    <w:rsid w:val="2DA30746"/>
    <w:rsid w:val="2DB94CBF"/>
    <w:rsid w:val="2DC86CB0"/>
    <w:rsid w:val="2DCC2C44"/>
    <w:rsid w:val="2DE63220"/>
    <w:rsid w:val="2DE9470A"/>
    <w:rsid w:val="2E035D14"/>
    <w:rsid w:val="2E0E6A8A"/>
    <w:rsid w:val="2E156399"/>
    <w:rsid w:val="2E1B7727"/>
    <w:rsid w:val="2E8A5B37"/>
    <w:rsid w:val="2E935510"/>
    <w:rsid w:val="2EC27BA3"/>
    <w:rsid w:val="2EE67D35"/>
    <w:rsid w:val="2EED4C20"/>
    <w:rsid w:val="2EFF2BA5"/>
    <w:rsid w:val="2F0506B8"/>
    <w:rsid w:val="2F063F34"/>
    <w:rsid w:val="2F536455"/>
    <w:rsid w:val="2F6A2714"/>
    <w:rsid w:val="2F7E7A94"/>
    <w:rsid w:val="2F927A56"/>
    <w:rsid w:val="2F930C2B"/>
    <w:rsid w:val="2FA07EE4"/>
    <w:rsid w:val="2FA63021"/>
    <w:rsid w:val="2FBC1EE1"/>
    <w:rsid w:val="2FD31515"/>
    <w:rsid w:val="2FDE27BA"/>
    <w:rsid w:val="2FEA2971"/>
    <w:rsid w:val="2FEB5ED5"/>
    <w:rsid w:val="2FFA689C"/>
    <w:rsid w:val="300264A9"/>
    <w:rsid w:val="300F20AC"/>
    <w:rsid w:val="30403541"/>
    <w:rsid w:val="306233EC"/>
    <w:rsid w:val="30631D01"/>
    <w:rsid w:val="308360CB"/>
    <w:rsid w:val="30980BBB"/>
    <w:rsid w:val="30C52318"/>
    <w:rsid w:val="30C776F3"/>
    <w:rsid w:val="30CB7EF2"/>
    <w:rsid w:val="30CE542D"/>
    <w:rsid w:val="30EB518F"/>
    <w:rsid w:val="30EF0CD6"/>
    <w:rsid w:val="31175D92"/>
    <w:rsid w:val="311961A0"/>
    <w:rsid w:val="311A0B44"/>
    <w:rsid w:val="312A17C7"/>
    <w:rsid w:val="312C15FD"/>
    <w:rsid w:val="31413001"/>
    <w:rsid w:val="3152520E"/>
    <w:rsid w:val="31540F86"/>
    <w:rsid w:val="31B82C24"/>
    <w:rsid w:val="31BB1005"/>
    <w:rsid w:val="31CA1248"/>
    <w:rsid w:val="31D67BED"/>
    <w:rsid w:val="31D75713"/>
    <w:rsid w:val="31F42769"/>
    <w:rsid w:val="31FE63E8"/>
    <w:rsid w:val="32195D2C"/>
    <w:rsid w:val="32222E32"/>
    <w:rsid w:val="32292413"/>
    <w:rsid w:val="323A4620"/>
    <w:rsid w:val="323F6B41"/>
    <w:rsid w:val="32546D64"/>
    <w:rsid w:val="325A081E"/>
    <w:rsid w:val="32766DAF"/>
    <w:rsid w:val="327A2C6E"/>
    <w:rsid w:val="32B1065A"/>
    <w:rsid w:val="333C43C8"/>
    <w:rsid w:val="333F5C66"/>
    <w:rsid w:val="334D7931"/>
    <w:rsid w:val="33615BDC"/>
    <w:rsid w:val="33760038"/>
    <w:rsid w:val="33833DA5"/>
    <w:rsid w:val="3390201E"/>
    <w:rsid w:val="33947D60"/>
    <w:rsid w:val="33A65CE5"/>
    <w:rsid w:val="33C61EE3"/>
    <w:rsid w:val="33CD760B"/>
    <w:rsid w:val="33DE547F"/>
    <w:rsid w:val="33F22CD8"/>
    <w:rsid w:val="33FE342B"/>
    <w:rsid w:val="340D2BF5"/>
    <w:rsid w:val="34164C19"/>
    <w:rsid w:val="342015F4"/>
    <w:rsid w:val="34433534"/>
    <w:rsid w:val="344A1462"/>
    <w:rsid w:val="345E3ECA"/>
    <w:rsid w:val="34676195"/>
    <w:rsid w:val="349B511E"/>
    <w:rsid w:val="34A042EE"/>
    <w:rsid w:val="34A246FE"/>
    <w:rsid w:val="35007112"/>
    <w:rsid w:val="351F5D4F"/>
    <w:rsid w:val="35305866"/>
    <w:rsid w:val="353C06AF"/>
    <w:rsid w:val="355D635D"/>
    <w:rsid w:val="355E22C9"/>
    <w:rsid w:val="35651D20"/>
    <w:rsid w:val="35702107"/>
    <w:rsid w:val="357B1FA8"/>
    <w:rsid w:val="35B446E9"/>
    <w:rsid w:val="35B50461"/>
    <w:rsid w:val="35DF103A"/>
    <w:rsid w:val="35E02753"/>
    <w:rsid w:val="35F66AB0"/>
    <w:rsid w:val="35FC7E3E"/>
    <w:rsid w:val="35FF348B"/>
    <w:rsid w:val="360F36CE"/>
    <w:rsid w:val="362178A5"/>
    <w:rsid w:val="3627310D"/>
    <w:rsid w:val="3636463B"/>
    <w:rsid w:val="364A6DFC"/>
    <w:rsid w:val="364C2B74"/>
    <w:rsid w:val="36592B9B"/>
    <w:rsid w:val="367B0D63"/>
    <w:rsid w:val="368D6CE8"/>
    <w:rsid w:val="36914A2B"/>
    <w:rsid w:val="36AA789A"/>
    <w:rsid w:val="36BD5820"/>
    <w:rsid w:val="36BD75CE"/>
    <w:rsid w:val="36DB5CA6"/>
    <w:rsid w:val="3701395E"/>
    <w:rsid w:val="3709636F"/>
    <w:rsid w:val="371511B8"/>
    <w:rsid w:val="37294C63"/>
    <w:rsid w:val="373D24BC"/>
    <w:rsid w:val="37425D25"/>
    <w:rsid w:val="37461371"/>
    <w:rsid w:val="376302F8"/>
    <w:rsid w:val="376D2DA2"/>
    <w:rsid w:val="37754C22"/>
    <w:rsid w:val="378123A9"/>
    <w:rsid w:val="378679C0"/>
    <w:rsid w:val="37987968"/>
    <w:rsid w:val="37991DE9"/>
    <w:rsid w:val="37A2797E"/>
    <w:rsid w:val="37A46C12"/>
    <w:rsid w:val="37AE5168"/>
    <w:rsid w:val="37C52BDE"/>
    <w:rsid w:val="37E56DDC"/>
    <w:rsid w:val="3809239F"/>
    <w:rsid w:val="380D00E1"/>
    <w:rsid w:val="381274A5"/>
    <w:rsid w:val="382507E6"/>
    <w:rsid w:val="38303DCF"/>
    <w:rsid w:val="38393E83"/>
    <w:rsid w:val="3845787B"/>
    <w:rsid w:val="38AD71CE"/>
    <w:rsid w:val="38B62526"/>
    <w:rsid w:val="38C06F01"/>
    <w:rsid w:val="38C67BD5"/>
    <w:rsid w:val="38D46734"/>
    <w:rsid w:val="39126EC4"/>
    <w:rsid w:val="39241B86"/>
    <w:rsid w:val="393731E6"/>
    <w:rsid w:val="39382F3B"/>
    <w:rsid w:val="393D2C48"/>
    <w:rsid w:val="393F076E"/>
    <w:rsid w:val="3949339B"/>
    <w:rsid w:val="3958538C"/>
    <w:rsid w:val="39616936"/>
    <w:rsid w:val="39763A64"/>
    <w:rsid w:val="39C40C73"/>
    <w:rsid w:val="39CE641A"/>
    <w:rsid w:val="39D210D0"/>
    <w:rsid w:val="39D72754"/>
    <w:rsid w:val="39EA2D8B"/>
    <w:rsid w:val="39EC3D26"/>
    <w:rsid w:val="3A064DE8"/>
    <w:rsid w:val="3A125E82"/>
    <w:rsid w:val="3A305520"/>
    <w:rsid w:val="3A6A35C8"/>
    <w:rsid w:val="3A6D130B"/>
    <w:rsid w:val="3A7E7074"/>
    <w:rsid w:val="3A8328DC"/>
    <w:rsid w:val="3A96552E"/>
    <w:rsid w:val="3AAF722D"/>
    <w:rsid w:val="3AC802EF"/>
    <w:rsid w:val="3ACA22B9"/>
    <w:rsid w:val="3AE3337B"/>
    <w:rsid w:val="3AEF1D0C"/>
    <w:rsid w:val="3B0F5F1E"/>
    <w:rsid w:val="3B133C60"/>
    <w:rsid w:val="3B1479D8"/>
    <w:rsid w:val="3B42010B"/>
    <w:rsid w:val="3B567FF1"/>
    <w:rsid w:val="3B637E13"/>
    <w:rsid w:val="3B7D37CF"/>
    <w:rsid w:val="3B844B5E"/>
    <w:rsid w:val="3B936BDE"/>
    <w:rsid w:val="3BAB20EB"/>
    <w:rsid w:val="3BC96A15"/>
    <w:rsid w:val="3BD9707D"/>
    <w:rsid w:val="3C616C4D"/>
    <w:rsid w:val="3C8A7F52"/>
    <w:rsid w:val="3C921909"/>
    <w:rsid w:val="3C990195"/>
    <w:rsid w:val="3CA52FDE"/>
    <w:rsid w:val="3CA65F73"/>
    <w:rsid w:val="3CAF1767"/>
    <w:rsid w:val="3CB7686D"/>
    <w:rsid w:val="3CBE19AA"/>
    <w:rsid w:val="3CED6733"/>
    <w:rsid w:val="3CF74EBC"/>
    <w:rsid w:val="3CF80E92"/>
    <w:rsid w:val="3CFB2BFE"/>
    <w:rsid w:val="3D09356D"/>
    <w:rsid w:val="3D0E080C"/>
    <w:rsid w:val="3D197528"/>
    <w:rsid w:val="3D2D6B2F"/>
    <w:rsid w:val="3D9F17DB"/>
    <w:rsid w:val="3DA96E02"/>
    <w:rsid w:val="3DBFFBF0"/>
    <w:rsid w:val="3DC454EF"/>
    <w:rsid w:val="3DCE3E6E"/>
    <w:rsid w:val="3DD25B93"/>
    <w:rsid w:val="3DE511B8"/>
    <w:rsid w:val="3DF2454E"/>
    <w:rsid w:val="3E0F771B"/>
    <w:rsid w:val="3E140565"/>
    <w:rsid w:val="3E1B5535"/>
    <w:rsid w:val="3E203BE4"/>
    <w:rsid w:val="3E3F4D6C"/>
    <w:rsid w:val="3EC94FA6"/>
    <w:rsid w:val="3ED05677"/>
    <w:rsid w:val="3EF63F99"/>
    <w:rsid w:val="3F0C10F2"/>
    <w:rsid w:val="3F281CA4"/>
    <w:rsid w:val="3F3423F7"/>
    <w:rsid w:val="3F375A43"/>
    <w:rsid w:val="3F491BC0"/>
    <w:rsid w:val="3F5C04AC"/>
    <w:rsid w:val="3F634A8A"/>
    <w:rsid w:val="3F6727CC"/>
    <w:rsid w:val="3F7B211F"/>
    <w:rsid w:val="3F827606"/>
    <w:rsid w:val="3F917849"/>
    <w:rsid w:val="3FA05CDE"/>
    <w:rsid w:val="3FA23805"/>
    <w:rsid w:val="3FAE03FB"/>
    <w:rsid w:val="400C205E"/>
    <w:rsid w:val="402E5885"/>
    <w:rsid w:val="40381A73"/>
    <w:rsid w:val="403F2E01"/>
    <w:rsid w:val="405A40DF"/>
    <w:rsid w:val="40610FCA"/>
    <w:rsid w:val="40AD06B3"/>
    <w:rsid w:val="40CD2B03"/>
    <w:rsid w:val="40E36EF3"/>
    <w:rsid w:val="40E901A0"/>
    <w:rsid w:val="40F167F2"/>
    <w:rsid w:val="410022C0"/>
    <w:rsid w:val="411C75E7"/>
    <w:rsid w:val="41494DE3"/>
    <w:rsid w:val="414A76CF"/>
    <w:rsid w:val="414C66FF"/>
    <w:rsid w:val="41685B7A"/>
    <w:rsid w:val="416D1BF0"/>
    <w:rsid w:val="41792343"/>
    <w:rsid w:val="418036D2"/>
    <w:rsid w:val="41EC6FB9"/>
    <w:rsid w:val="41FB544E"/>
    <w:rsid w:val="4203048B"/>
    <w:rsid w:val="420E40CE"/>
    <w:rsid w:val="42106E96"/>
    <w:rsid w:val="42132798"/>
    <w:rsid w:val="423D7815"/>
    <w:rsid w:val="42562684"/>
    <w:rsid w:val="42567CAB"/>
    <w:rsid w:val="425A6618"/>
    <w:rsid w:val="42703746"/>
    <w:rsid w:val="42AC04F6"/>
    <w:rsid w:val="42AF11ED"/>
    <w:rsid w:val="42B25F39"/>
    <w:rsid w:val="42BC2E2F"/>
    <w:rsid w:val="42BF46CD"/>
    <w:rsid w:val="42E163F2"/>
    <w:rsid w:val="42E859D2"/>
    <w:rsid w:val="42FE0D52"/>
    <w:rsid w:val="43201866"/>
    <w:rsid w:val="43212C92"/>
    <w:rsid w:val="4328518F"/>
    <w:rsid w:val="4334739A"/>
    <w:rsid w:val="433504EC"/>
    <w:rsid w:val="4340600B"/>
    <w:rsid w:val="4355293C"/>
    <w:rsid w:val="4356724C"/>
    <w:rsid w:val="435B2648"/>
    <w:rsid w:val="436D5ED7"/>
    <w:rsid w:val="43707776"/>
    <w:rsid w:val="43720088"/>
    <w:rsid w:val="43743CE6"/>
    <w:rsid w:val="439671DC"/>
    <w:rsid w:val="43A044FF"/>
    <w:rsid w:val="43F108B7"/>
    <w:rsid w:val="44056110"/>
    <w:rsid w:val="441D78FE"/>
    <w:rsid w:val="444200F5"/>
    <w:rsid w:val="445A46AE"/>
    <w:rsid w:val="4466124E"/>
    <w:rsid w:val="4475773A"/>
    <w:rsid w:val="447F5EC2"/>
    <w:rsid w:val="44B10046"/>
    <w:rsid w:val="44C77869"/>
    <w:rsid w:val="44D73F50"/>
    <w:rsid w:val="44EF6789"/>
    <w:rsid w:val="45054FDF"/>
    <w:rsid w:val="45156827"/>
    <w:rsid w:val="451C7BB5"/>
    <w:rsid w:val="453E7B2C"/>
    <w:rsid w:val="45444586"/>
    <w:rsid w:val="45576E3F"/>
    <w:rsid w:val="45614516"/>
    <w:rsid w:val="456A6B72"/>
    <w:rsid w:val="457C5F26"/>
    <w:rsid w:val="45800144"/>
    <w:rsid w:val="458C3E37"/>
    <w:rsid w:val="45A7777B"/>
    <w:rsid w:val="45B33B9B"/>
    <w:rsid w:val="45C02C36"/>
    <w:rsid w:val="45C6267D"/>
    <w:rsid w:val="45CE5353"/>
    <w:rsid w:val="45ED3300"/>
    <w:rsid w:val="45ED50AE"/>
    <w:rsid w:val="45F40516"/>
    <w:rsid w:val="460102A4"/>
    <w:rsid w:val="461C6EB7"/>
    <w:rsid w:val="464216D6"/>
    <w:rsid w:val="464603BB"/>
    <w:rsid w:val="46504C6F"/>
    <w:rsid w:val="4651388E"/>
    <w:rsid w:val="465D0485"/>
    <w:rsid w:val="465E7D59"/>
    <w:rsid w:val="46937059"/>
    <w:rsid w:val="46A95479"/>
    <w:rsid w:val="46AC4F69"/>
    <w:rsid w:val="46C73B51"/>
    <w:rsid w:val="46C92DA7"/>
    <w:rsid w:val="46D958AA"/>
    <w:rsid w:val="46DC75FC"/>
    <w:rsid w:val="46EB5A91"/>
    <w:rsid w:val="470E352E"/>
    <w:rsid w:val="470E79D1"/>
    <w:rsid w:val="471E7C15"/>
    <w:rsid w:val="472471F5"/>
    <w:rsid w:val="472D42FC"/>
    <w:rsid w:val="472E597E"/>
    <w:rsid w:val="47372465"/>
    <w:rsid w:val="477A6E15"/>
    <w:rsid w:val="47DB78B4"/>
    <w:rsid w:val="47FD3CCE"/>
    <w:rsid w:val="47FE7A46"/>
    <w:rsid w:val="480F3A01"/>
    <w:rsid w:val="481E3AAF"/>
    <w:rsid w:val="48207910"/>
    <w:rsid w:val="48253225"/>
    <w:rsid w:val="483B08B4"/>
    <w:rsid w:val="484C255F"/>
    <w:rsid w:val="48541414"/>
    <w:rsid w:val="48623B31"/>
    <w:rsid w:val="48724537"/>
    <w:rsid w:val="48895562"/>
    <w:rsid w:val="488B69F8"/>
    <w:rsid w:val="48965ED0"/>
    <w:rsid w:val="48C90054"/>
    <w:rsid w:val="48D84455"/>
    <w:rsid w:val="48FA296C"/>
    <w:rsid w:val="490231AB"/>
    <w:rsid w:val="49027548"/>
    <w:rsid w:val="49115557"/>
    <w:rsid w:val="49211C3E"/>
    <w:rsid w:val="49351245"/>
    <w:rsid w:val="49421DD0"/>
    <w:rsid w:val="49465201"/>
    <w:rsid w:val="49494CF1"/>
    <w:rsid w:val="4950590D"/>
    <w:rsid w:val="495105E0"/>
    <w:rsid w:val="495C67D2"/>
    <w:rsid w:val="49634005"/>
    <w:rsid w:val="496833C9"/>
    <w:rsid w:val="49886DB4"/>
    <w:rsid w:val="49970D05"/>
    <w:rsid w:val="49A91C65"/>
    <w:rsid w:val="49AD34D2"/>
    <w:rsid w:val="49E36EF3"/>
    <w:rsid w:val="49FE1F7F"/>
    <w:rsid w:val="4A2F038B"/>
    <w:rsid w:val="4A431F7F"/>
    <w:rsid w:val="4A5E47CC"/>
    <w:rsid w:val="4A6F4C2B"/>
    <w:rsid w:val="4A791606"/>
    <w:rsid w:val="4A9C0758"/>
    <w:rsid w:val="4AA34422"/>
    <w:rsid w:val="4AAA7A11"/>
    <w:rsid w:val="4AB26488"/>
    <w:rsid w:val="4ABF170F"/>
    <w:rsid w:val="4ACC7988"/>
    <w:rsid w:val="4AD30D16"/>
    <w:rsid w:val="4AEA53B9"/>
    <w:rsid w:val="4AF15640"/>
    <w:rsid w:val="4B094738"/>
    <w:rsid w:val="4B1C7C90"/>
    <w:rsid w:val="4B2E6D15"/>
    <w:rsid w:val="4B50680B"/>
    <w:rsid w:val="4B5A4F93"/>
    <w:rsid w:val="4B6D78CD"/>
    <w:rsid w:val="4B884025"/>
    <w:rsid w:val="4B9106E2"/>
    <w:rsid w:val="4BD05255"/>
    <w:rsid w:val="4BE60F1D"/>
    <w:rsid w:val="4BF8453E"/>
    <w:rsid w:val="4C231829"/>
    <w:rsid w:val="4C2630C7"/>
    <w:rsid w:val="4C4579F1"/>
    <w:rsid w:val="4C6E62A3"/>
    <w:rsid w:val="4CA23096"/>
    <w:rsid w:val="4CB608EF"/>
    <w:rsid w:val="4CB84667"/>
    <w:rsid w:val="4CC56D84"/>
    <w:rsid w:val="4CE27936"/>
    <w:rsid w:val="4CEC4311"/>
    <w:rsid w:val="4D04165B"/>
    <w:rsid w:val="4D0C6BFE"/>
    <w:rsid w:val="4D0E4287"/>
    <w:rsid w:val="4D185106"/>
    <w:rsid w:val="4D1D0636"/>
    <w:rsid w:val="4D5A127B"/>
    <w:rsid w:val="4D77007F"/>
    <w:rsid w:val="4D8207D1"/>
    <w:rsid w:val="4D8C1650"/>
    <w:rsid w:val="4DA30E74"/>
    <w:rsid w:val="4DB27309"/>
    <w:rsid w:val="4DB52955"/>
    <w:rsid w:val="4DBA61BD"/>
    <w:rsid w:val="4DBB3CB6"/>
    <w:rsid w:val="4DCB2178"/>
    <w:rsid w:val="4DEC481B"/>
    <w:rsid w:val="4E165AE9"/>
    <w:rsid w:val="4E7E368F"/>
    <w:rsid w:val="4E8862BB"/>
    <w:rsid w:val="4E9702AC"/>
    <w:rsid w:val="4EC30EDE"/>
    <w:rsid w:val="4ECC264C"/>
    <w:rsid w:val="4ECE0172"/>
    <w:rsid w:val="4EF92D15"/>
    <w:rsid w:val="4EFF4E69"/>
    <w:rsid w:val="4F1B2C8C"/>
    <w:rsid w:val="4F4C6AE6"/>
    <w:rsid w:val="4F544CA2"/>
    <w:rsid w:val="4F5A5BD2"/>
    <w:rsid w:val="4F5A7C58"/>
    <w:rsid w:val="4F624D5E"/>
    <w:rsid w:val="4F9B0FCB"/>
    <w:rsid w:val="4F9D18F3"/>
    <w:rsid w:val="4FBD1F95"/>
    <w:rsid w:val="4FD07F1A"/>
    <w:rsid w:val="4FD73056"/>
    <w:rsid w:val="4FF5172F"/>
    <w:rsid w:val="4FFA4F97"/>
    <w:rsid w:val="500B2D00"/>
    <w:rsid w:val="500C2E3A"/>
    <w:rsid w:val="502142D2"/>
    <w:rsid w:val="502C7E07"/>
    <w:rsid w:val="5032028D"/>
    <w:rsid w:val="50586F25"/>
    <w:rsid w:val="50593A6B"/>
    <w:rsid w:val="506A1275"/>
    <w:rsid w:val="50A35B95"/>
    <w:rsid w:val="50B27620"/>
    <w:rsid w:val="50BB64D4"/>
    <w:rsid w:val="50BD1F39"/>
    <w:rsid w:val="50D43A3A"/>
    <w:rsid w:val="50D50081"/>
    <w:rsid w:val="50F10148"/>
    <w:rsid w:val="50FC1EF9"/>
    <w:rsid w:val="51051E45"/>
    <w:rsid w:val="510D1493"/>
    <w:rsid w:val="510F6820"/>
    <w:rsid w:val="511F2F07"/>
    <w:rsid w:val="512027DB"/>
    <w:rsid w:val="513322A0"/>
    <w:rsid w:val="513B13C3"/>
    <w:rsid w:val="5167040A"/>
    <w:rsid w:val="516C3C72"/>
    <w:rsid w:val="516D233C"/>
    <w:rsid w:val="516E1798"/>
    <w:rsid w:val="5187285A"/>
    <w:rsid w:val="518965D2"/>
    <w:rsid w:val="51C63383"/>
    <w:rsid w:val="51C92E73"/>
    <w:rsid w:val="51E30784"/>
    <w:rsid w:val="51EF7C55"/>
    <w:rsid w:val="51FD0C55"/>
    <w:rsid w:val="52043EAB"/>
    <w:rsid w:val="5244074B"/>
    <w:rsid w:val="525B1B56"/>
    <w:rsid w:val="525C5A95"/>
    <w:rsid w:val="526B3F2A"/>
    <w:rsid w:val="52843CD5"/>
    <w:rsid w:val="52854FEC"/>
    <w:rsid w:val="528D20F2"/>
    <w:rsid w:val="52A01E26"/>
    <w:rsid w:val="52A86F2C"/>
    <w:rsid w:val="52AF3C79"/>
    <w:rsid w:val="52B256B5"/>
    <w:rsid w:val="52CA50F4"/>
    <w:rsid w:val="52D10166"/>
    <w:rsid w:val="52D852D5"/>
    <w:rsid w:val="52DE46FC"/>
    <w:rsid w:val="52F97788"/>
    <w:rsid w:val="530F0D59"/>
    <w:rsid w:val="532076DA"/>
    <w:rsid w:val="536E13A9"/>
    <w:rsid w:val="537E1A3B"/>
    <w:rsid w:val="537F5EDF"/>
    <w:rsid w:val="53966D85"/>
    <w:rsid w:val="53987EBC"/>
    <w:rsid w:val="53A40EB9"/>
    <w:rsid w:val="53C63C53"/>
    <w:rsid w:val="53C66AC7"/>
    <w:rsid w:val="53F561A1"/>
    <w:rsid w:val="53F66196"/>
    <w:rsid w:val="53F71F19"/>
    <w:rsid w:val="53FC471D"/>
    <w:rsid w:val="5458228C"/>
    <w:rsid w:val="549E0B9F"/>
    <w:rsid w:val="54A6749B"/>
    <w:rsid w:val="54A86D6F"/>
    <w:rsid w:val="54B020C8"/>
    <w:rsid w:val="54B03E76"/>
    <w:rsid w:val="54DD5EE3"/>
    <w:rsid w:val="54EA7388"/>
    <w:rsid w:val="54F40207"/>
    <w:rsid w:val="55052414"/>
    <w:rsid w:val="55256612"/>
    <w:rsid w:val="55393E6B"/>
    <w:rsid w:val="553C395C"/>
    <w:rsid w:val="55456CB4"/>
    <w:rsid w:val="55524F2D"/>
    <w:rsid w:val="5579695E"/>
    <w:rsid w:val="557B0928"/>
    <w:rsid w:val="559F4616"/>
    <w:rsid w:val="55A82D9F"/>
    <w:rsid w:val="55D7082B"/>
    <w:rsid w:val="55F81F79"/>
    <w:rsid w:val="56075D18"/>
    <w:rsid w:val="560A5808"/>
    <w:rsid w:val="56141C33"/>
    <w:rsid w:val="562763BA"/>
    <w:rsid w:val="562E7748"/>
    <w:rsid w:val="56336B0D"/>
    <w:rsid w:val="563C1E65"/>
    <w:rsid w:val="565151E5"/>
    <w:rsid w:val="567A0BDF"/>
    <w:rsid w:val="56955A19"/>
    <w:rsid w:val="56B310C2"/>
    <w:rsid w:val="56B45E9F"/>
    <w:rsid w:val="56B62522"/>
    <w:rsid w:val="56DB78D0"/>
    <w:rsid w:val="56F02C50"/>
    <w:rsid w:val="56FB1D20"/>
    <w:rsid w:val="570B5583"/>
    <w:rsid w:val="571E77BD"/>
    <w:rsid w:val="57286DB3"/>
    <w:rsid w:val="574865E8"/>
    <w:rsid w:val="577B4C0F"/>
    <w:rsid w:val="577E025B"/>
    <w:rsid w:val="57A37CC2"/>
    <w:rsid w:val="57B1418D"/>
    <w:rsid w:val="57C53579"/>
    <w:rsid w:val="580B1D35"/>
    <w:rsid w:val="58150BC0"/>
    <w:rsid w:val="58220F38"/>
    <w:rsid w:val="58237473"/>
    <w:rsid w:val="5829466B"/>
    <w:rsid w:val="582D2ECA"/>
    <w:rsid w:val="58675193"/>
    <w:rsid w:val="588B0E82"/>
    <w:rsid w:val="588E44CE"/>
    <w:rsid w:val="589E62EB"/>
    <w:rsid w:val="58B5571B"/>
    <w:rsid w:val="58C148A4"/>
    <w:rsid w:val="58D06FBA"/>
    <w:rsid w:val="58DD0763"/>
    <w:rsid w:val="590A0F1B"/>
    <w:rsid w:val="5936284C"/>
    <w:rsid w:val="593A4CA4"/>
    <w:rsid w:val="593E5EF4"/>
    <w:rsid w:val="59592D2E"/>
    <w:rsid w:val="597436C4"/>
    <w:rsid w:val="59747B68"/>
    <w:rsid w:val="59875AED"/>
    <w:rsid w:val="598D4786"/>
    <w:rsid w:val="599B6EA3"/>
    <w:rsid w:val="59AD6BD6"/>
    <w:rsid w:val="59D620C4"/>
    <w:rsid w:val="59EF3692"/>
    <w:rsid w:val="5A1D0200"/>
    <w:rsid w:val="5A5359CF"/>
    <w:rsid w:val="5A76346C"/>
    <w:rsid w:val="5A7C139D"/>
    <w:rsid w:val="5A7C4F26"/>
    <w:rsid w:val="5AB3021C"/>
    <w:rsid w:val="5ABA5A4E"/>
    <w:rsid w:val="5AD05272"/>
    <w:rsid w:val="5AE623A0"/>
    <w:rsid w:val="5AE72A9B"/>
    <w:rsid w:val="5AF80C77"/>
    <w:rsid w:val="5AFD593B"/>
    <w:rsid w:val="5B0A0784"/>
    <w:rsid w:val="5B0D5B7E"/>
    <w:rsid w:val="5B0F5D9A"/>
    <w:rsid w:val="5B2D7FCE"/>
    <w:rsid w:val="5B3651C4"/>
    <w:rsid w:val="5B6773DD"/>
    <w:rsid w:val="5B871DD5"/>
    <w:rsid w:val="5B90055D"/>
    <w:rsid w:val="5B94004E"/>
    <w:rsid w:val="5BC12002"/>
    <w:rsid w:val="5BC56459"/>
    <w:rsid w:val="5BD963A8"/>
    <w:rsid w:val="5BDC19F5"/>
    <w:rsid w:val="5BEF1728"/>
    <w:rsid w:val="5C0C4088"/>
    <w:rsid w:val="5C164F06"/>
    <w:rsid w:val="5C1D5CD1"/>
    <w:rsid w:val="5C1E636D"/>
    <w:rsid w:val="5C427AAA"/>
    <w:rsid w:val="5C49779D"/>
    <w:rsid w:val="5C4A2E02"/>
    <w:rsid w:val="5C4C26D6"/>
    <w:rsid w:val="5C533A65"/>
    <w:rsid w:val="5C6A0DAE"/>
    <w:rsid w:val="5C797243"/>
    <w:rsid w:val="5C950521"/>
    <w:rsid w:val="5CA61CC5"/>
    <w:rsid w:val="5CAD62E8"/>
    <w:rsid w:val="5CCB1749"/>
    <w:rsid w:val="5CD47089"/>
    <w:rsid w:val="5CEE60FC"/>
    <w:rsid w:val="5D1319DA"/>
    <w:rsid w:val="5D752101"/>
    <w:rsid w:val="5D9A3915"/>
    <w:rsid w:val="5D9E3405"/>
    <w:rsid w:val="5DAF5613"/>
    <w:rsid w:val="5DC145E1"/>
    <w:rsid w:val="5DC15346"/>
    <w:rsid w:val="5DCA244C"/>
    <w:rsid w:val="5DCA7D57"/>
    <w:rsid w:val="5DDD2180"/>
    <w:rsid w:val="5DDE7CA6"/>
    <w:rsid w:val="5DF9063C"/>
    <w:rsid w:val="5E070FAB"/>
    <w:rsid w:val="5E14191A"/>
    <w:rsid w:val="5E2C5A66"/>
    <w:rsid w:val="5E3972E5"/>
    <w:rsid w:val="5E3F6694"/>
    <w:rsid w:val="5E5341F0"/>
    <w:rsid w:val="5E5D0BCB"/>
    <w:rsid w:val="5E774777"/>
    <w:rsid w:val="5E7A79CF"/>
    <w:rsid w:val="5E875C48"/>
    <w:rsid w:val="5EA20CD3"/>
    <w:rsid w:val="5F142678"/>
    <w:rsid w:val="5F20356F"/>
    <w:rsid w:val="5F2711D9"/>
    <w:rsid w:val="5F342CE9"/>
    <w:rsid w:val="5F487ACD"/>
    <w:rsid w:val="5F492843"/>
    <w:rsid w:val="5F610B8F"/>
    <w:rsid w:val="5F6661A5"/>
    <w:rsid w:val="5F6662FF"/>
    <w:rsid w:val="5F87745E"/>
    <w:rsid w:val="5F9A19AB"/>
    <w:rsid w:val="5FA35296"/>
    <w:rsid w:val="5FCF78A6"/>
    <w:rsid w:val="5FD56E87"/>
    <w:rsid w:val="6030435D"/>
    <w:rsid w:val="605D1356"/>
    <w:rsid w:val="60602BF4"/>
    <w:rsid w:val="60634492"/>
    <w:rsid w:val="60714E01"/>
    <w:rsid w:val="608D150F"/>
    <w:rsid w:val="608E59B3"/>
    <w:rsid w:val="6098413C"/>
    <w:rsid w:val="60B42F40"/>
    <w:rsid w:val="60D36EB3"/>
    <w:rsid w:val="60E16DC7"/>
    <w:rsid w:val="60F875EA"/>
    <w:rsid w:val="6120452A"/>
    <w:rsid w:val="612B4FB0"/>
    <w:rsid w:val="61557096"/>
    <w:rsid w:val="617F354E"/>
    <w:rsid w:val="6185437C"/>
    <w:rsid w:val="619A1751"/>
    <w:rsid w:val="619F720E"/>
    <w:rsid w:val="61B52ACC"/>
    <w:rsid w:val="61D45A07"/>
    <w:rsid w:val="61E729D2"/>
    <w:rsid w:val="61FD726F"/>
    <w:rsid w:val="622171F9"/>
    <w:rsid w:val="62317338"/>
    <w:rsid w:val="62353C0D"/>
    <w:rsid w:val="623F0B7F"/>
    <w:rsid w:val="62407B32"/>
    <w:rsid w:val="625B6FBC"/>
    <w:rsid w:val="626764BC"/>
    <w:rsid w:val="627209BD"/>
    <w:rsid w:val="627925D2"/>
    <w:rsid w:val="628A3F58"/>
    <w:rsid w:val="62C46226"/>
    <w:rsid w:val="62C523FB"/>
    <w:rsid w:val="62F13FD7"/>
    <w:rsid w:val="62F56060"/>
    <w:rsid w:val="6300421A"/>
    <w:rsid w:val="63103592"/>
    <w:rsid w:val="63155F18"/>
    <w:rsid w:val="63350368"/>
    <w:rsid w:val="63610329"/>
    <w:rsid w:val="6381535B"/>
    <w:rsid w:val="63846BFA"/>
    <w:rsid w:val="638766EA"/>
    <w:rsid w:val="638E7A78"/>
    <w:rsid w:val="639860B9"/>
    <w:rsid w:val="63BC45E5"/>
    <w:rsid w:val="63BF40D6"/>
    <w:rsid w:val="63C8712F"/>
    <w:rsid w:val="63C9253A"/>
    <w:rsid w:val="63C94F54"/>
    <w:rsid w:val="63D00091"/>
    <w:rsid w:val="63D95197"/>
    <w:rsid w:val="63F41FD1"/>
    <w:rsid w:val="641E3E83"/>
    <w:rsid w:val="64552344"/>
    <w:rsid w:val="648F14D8"/>
    <w:rsid w:val="64A241DD"/>
    <w:rsid w:val="64BF74AD"/>
    <w:rsid w:val="64DC3A26"/>
    <w:rsid w:val="64DC4BF4"/>
    <w:rsid w:val="64EC4A56"/>
    <w:rsid w:val="64F41B5D"/>
    <w:rsid w:val="65053D6A"/>
    <w:rsid w:val="653E3F84"/>
    <w:rsid w:val="655D3BA6"/>
    <w:rsid w:val="655F347A"/>
    <w:rsid w:val="65735178"/>
    <w:rsid w:val="658E1FB1"/>
    <w:rsid w:val="65A6554D"/>
    <w:rsid w:val="65AB796D"/>
    <w:rsid w:val="65C42D57"/>
    <w:rsid w:val="65D26342"/>
    <w:rsid w:val="660404C6"/>
    <w:rsid w:val="660F30F2"/>
    <w:rsid w:val="66206A18"/>
    <w:rsid w:val="662E7EAC"/>
    <w:rsid w:val="66354F05"/>
    <w:rsid w:val="66501015"/>
    <w:rsid w:val="666845B1"/>
    <w:rsid w:val="667C005C"/>
    <w:rsid w:val="66983372"/>
    <w:rsid w:val="66A7157D"/>
    <w:rsid w:val="66AF2C9C"/>
    <w:rsid w:val="66D06D96"/>
    <w:rsid w:val="66D122FD"/>
    <w:rsid w:val="66E53E53"/>
    <w:rsid w:val="66E75E1D"/>
    <w:rsid w:val="66F44096"/>
    <w:rsid w:val="66FC791B"/>
    <w:rsid w:val="670A1B0C"/>
    <w:rsid w:val="672C3830"/>
    <w:rsid w:val="672E75A8"/>
    <w:rsid w:val="6746681E"/>
    <w:rsid w:val="675E59B4"/>
    <w:rsid w:val="676E5BF7"/>
    <w:rsid w:val="67874F0A"/>
    <w:rsid w:val="67AB6E4B"/>
    <w:rsid w:val="67B215EE"/>
    <w:rsid w:val="67CA4DF7"/>
    <w:rsid w:val="67CB102B"/>
    <w:rsid w:val="67F34959"/>
    <w:rsid w:val="67F87BB6"/>
    <w:rsid w:val="67FF2CF3"/>
    <w:rsid w:val="681A18DB"/>
    <w:rsid w:val="682965BB"/>
    <w:rsid w:val="68297D70"/>
    <w:rsid w:val="683A4A13"/>
    <w:rsid w:val="684352D5"/>
    <w:rsid w:val="685F7C35"/>
    <w:rsid w:val="688F22C8"/>
    <w:rsid w:val="689E3B8A"/>
    <w:rsid w:val="689E42BA"/>
    <w:rsid w:val="68B7537B"/>
    <w:rsid w:val="68BF2482"/>
    <w:rsid w:val="68DC4DE2"/>
    <w:rsid w:val="68F44821"/>
    <w:rsid w:val="68F6059A"/>
    <w:rsid w:val="69132EFA"/>
    <w:rsid w:val="691C78D4"/>
    <w:rsid w:val="692E40F3"/>
    <w:rsid w:val="69362744"/>
    <w:rsid w:val="69561038"/>
    <w:rsid w:val="69623EDE"/>
    <w:rsid w:val="697E2A34"/>
    <w:rsid w:val="699B4C9D"/>
    <w:rsid w:val="69B61AD7"/>
    <w:rsid w:val="69F262CB"/>
    <w:rsid w:val="69F85C4B"/>
    <w:rsid w:val="6A334ED5"/>
    <w:rsid w:val="6A4964A7"/>
    <w:rsid w:val="6A5C61DA"/>
    <w:rsid w:val="6A7D3FB6"/>
    <w:rsid w:val="6AB46016"/>
    <w:rsid w:val="6AB778B5"/>
    <w:rsid w:val="6AC16985"/>
    <w:rsid w:val="6AD9782B"/>
    <w:rsid w:val="6B064398"/>
    <w:rsid w:val="6B133AE7"/>
    <w:rsid w:val="6B170353"/>
    <w:rsid w:val="6B1D5E72"/>
    <w:rsid w:val="6B3453A9"/>
    <w:rsid w:val="6B3E28C1"/>
    <w:rsid w:val="6B476E8A"/>
    <w:rsid w:val="6B4B046E"/>
    <w:rsid w:val="6B4F62C2"/>
    <w:rsid w:val="6B5259F4"/>
    <w:rsid w:val="6B7316A4"/>
    <w:rsid w:val="6B7B2FD8"/>
    <w:rsid w:val="6B7E4C5D"/>
    <w:rsid w:val="6BBB1626"/>
    <w:rsid w:val="6BCFCE22"/>
    <w:rsid w:val="6C283F43"/>
    <w:rsid w:val="6C335661"/>
    <w:rsid w:val="6C353187"/>
    <w:rsid w:val="6C3A079D"/>
    <w:rsid w:val="6C4433CA"/>
    <w:rsid w:val="6C586513"/>
    <w:rsid w:val="6C7B05E2"/>
    <w:rsid w:val="6C830396"/>
    <w:rsid w:val="6C8359F4"/>
    <w:rsid w:val="6CCC3665"/>
    <w:rsid w:val="6CCE0EE6"/>
    <w:rsid w:val="6CE150BD"/>
    <w:rsid w:val="6CF941B4"/>
    <w:rsid w:val="6D0A2CBD"/>
    <w:rsid w:val="6D0B14CF"/>
    <w:rsid w:val="6D1E1E6D"/>
    <w:rsid w:val="6D2531FB"/>
    <w:rsid w:val="6D4318D3"/>
    <w:rsid w:val="6D434595"/>
    <w:rsid w:val="6D7970A3"/>
    <w:rsid w:val="6D8C327A"/>
    <w:rsid w:val="6D946ECB"/>
    <w:rsid w:val="6D9A691B"/>
    <w:rsid w:val="6D9F3FE9"/>
    <w:rsid w:val="6DB4076A"/>
    <w:rsid w:val="6DB77BCC"/>
    <w:rsid w:val="6DC9057F"/>
    <w:rsid w:val="6DC95F17"/>
    <w:rsid w:val="6DD44130"/>
    <w:rsid w:val="6E112D3E"/>
    <w:rsid w:val="6E190503"/>
    <w:rsid w:val="6E261E32"/>
    <w:rsid w:val="6E4B4EE4"/>
    <w:rsid w:val="6E6848B4"/>
    <w:rsid w:val="6E6935BC"/>
    <w:rsid w:val="6E731D44"/>
    <w:rsid w:val="6E8B4A99"/>
    <w:rsid w:val="6E900B48"/>
    <w:rsid w:val="6EAE0FCF"/>
    <w:rsid w:val="6EC727D8"/>
    <w:rsid w:val="6EE804F1"/>
    <w:rsid w:val="6EE80984"/>
    <w:rsid w:val="6F0D3F47"/>
    <w:rsid w:val="6F6A75EB"/>
    <w:rsid w:val="6F854280"/>
    <w:rsid w:val="6F865AA7"/>
    <w:rsid w:val="6FB6638D"/>
    <w:rsid w:val="6FB865A9"/>
    <w:rsid w:val="6FC51CA8"/>
    <w:rsid w:val="6FE4739E"/>
    <w:rsid w:val="6FFA819D"/>
    <w:rsid w:val="70291255"/>
    <w:rsid w:val="703379DD"/>
    <w:rsid w:val="70634617"/>
    <w:rsid w:val="70636969"/>
    <w:rsid w:val="709119F6"/>
    <w:rsid w:val="70A408DB"/>
    <w:rsid w:val="70A97C9F"/>
    <w:rsid w:val="70AC5B69"/>
    <w:rsid w:val="70C366B0"/>
    <w:rsid w:val="70D80585"/>
    <w:rsid w:val="70E5442F"/>
    <w:rsid w:val="70F058CE"/>
    <w:rsid w:val="70F213F3"/>
    <w:rsid w:val="711D674E"/>
    <w:rsid w:val="712026E3"/>
    <w:rsid w:val="7128150C"/>
    <w:rsid w:val="71397275"/>
    <w:rsid w:val="714F4CEB"/>
    <w:rsid w:val="716122BB"/>
    <w:rsid w:val="716B31A7"/>
    <w:rsid w:val="71B24055"/>
    <w:rsid w:val="71BF66FE"/>
    <w:rsid w:val="72071122"/>
    <w:rsid w:val="720A29C0"/>
    <w:rsid w:val="720B63C0"/>
    <w:rsid w:val="72133F6A"/>
    <w:rsid w:val="721B2E1F"/>
    <w:rsid w:val="72213E66"/>
    <w:rsid w:val="724F65E2"/>
    <w:rsid w:val="7275647C"/>
    <w:rsid w:val="727F515C"/>
    <w:rsid w:val="728C1B45"/>
    <w:rsid w:val="72BD3ED6"/>
    <w:rsid w:val="72BF0364"/>
    <w:rsid w:val="72D55F67"/>
    <w:rsid w:val="72F86CBC"/>
    <w:rsid w:val="72FB055A"/>
    <w:rsid w:val="730D6C0C"/>
    <w:rsid w:val="73263829"/>
    <w:rsid w:val="73337CF4"/>
    <w:rsid w:val="7346211D"/>
    <w:rsid w:val="73465C7A"/>
    <w:rsid w:val="73934B26"/>
    <w:rsid w:val="73C3376E"/>
    <w:rsid w:val="73E02686"/>
    <w:rsid w:val="74117B3F"/>
    <w:rsid w:val="74152E80"/>
    <w:rsid w:val="741915E0"/>
    <w:rsid w:val="7423420D"/>
    <w:rsid w:val="74273CFD"/>
    <w:rsid w:val="742862C6"/>
    <w:rsid w:val="742C4E6F"/>
    <w:rsid w:val="7443040B"/>
    <w:rsid w:val="744F272C"/>
    <w:rsid w:val="74552A6A"/>
    <w:rsid w:val="746B1DAF"/>
    <w:rsid w:val="746E1B45"/>
    <w:rsid w:val="74736F42"/>
    <w:rsid w:val="748702F8"/>
    <w:rsid w:val="748A428C"/>
    <w:rsid w:val="748F1AFC"/>
    <w:rsid w:val="749D7B1B"/>
    <w:rsid w:val="74AE7F7A"/>
    <w:rsid w:val="74B15375"/>
    <w:rsid w:val="74C06305"/>
    <w:rsid w:val="74C4779E"/>
    <w:rsid w:val="74D6180A"/>
    <w:rsid w:val="74E15338"/>
    <w:rsid w:val="74F6547D"/>
    <w:rsid w:val="750924D8"/>
    <w:rsid w:val="751A116C"/>
    <w:rsid w:val="751D6EAE"/>
    <w:rsid w:val="753164B5"/>
    <w:rsid w:val="753A7A60"/>
    <w:rsid w:val="75660855"/>
    <w:rsid w:val="75B72E5F"/>
    <w:rsid w:val="75D82CCE"/>
    <w:rsid w:val="75E225A7"/>
    <w:rsid w:val="75FF0362"/>
    <w:rsid w:val="7608190C"/>
    <w:rsid w:val="761756AB"/>
    <w:rsid w:val="762027B2"/>
    <w:rsid w:val="7629262A"/>
    <w:rsid w:val="764C6175"/>
    <w:rsid w:val="765E32DA"/>
    <w:rsid w:val="7677439C"/>
    <w:rsid w:val="767945B8"/>
    <w:rsid w:val="76830F93"/>
    <w:rsid w:val="76856AB9"/>
    <w:rsid w:val="768763DA"/>
    <w:rsid w:val="76BC122C"/>
    <w:rsid w:val="76C415FC"/>
    <w:rsid w:val="76F61765"/>
    <w:rsid w:val="77012625"/>
    <w:rsid w:val="7704694D"/>
    <w:rsid w:val="771542E1"/>
    <w:rsid w:val="77183DD1"/>
    <w:rsid w:val="77194CE2"/>
    <w:rsid w:val="771A5453"/>
    <w:rsid w:val="771B741D"/>
    <w:rsid w:val="772462D2"/>
    <w:rsid w:val="774B1AB0"/>
    <w:rsid w:val="774E15A1"/>
    <w:rsid w:val="775368EB"/>
    <w:rsid w:val="775C3661"/>
    <w:rsid w:val="77701517"/>
    <w:rsid w:val="77871237"/>
    <w:rsid w:val="77911727"/>
    <w:rsid w:val="77EA18BC"/>
    <w:rsid w:val="77F4117B"/>
    <w:rsid w:val="7808174F"/>
    <w:rsid w:val="780D4FB8"/>
    <w:rsid w:val="78104AA8"/>
    <w:rsid w:val="782D565A"/>
    <w:rsid w:val="783469E8"/>
    <w:rsid w:val="783A53EF"/>
    <w:rsid w:val="7840713B"/>
    <w:rsid w:val="786A065C"/>
    <w:rsid w:val="78704DF0"/>
    <w:rsid w:val="788F3C1F"/>
    <w:rsid w:val="78B35B5F"/>
    <w:rsid w:val="78B90C9C"/>
    <w:rsid w:val="78C15F64"/>
    <w:rsid w:val="78D322D8"/>
    <w:rsid w:val="78EC0CB4"/>
    <w:rsid w:val="79294073"/>
    <w:rsid w:val="792C3F7A"/>
    <w:rsid w:val="792F0DD0"/>
    <w:rsid w:val="795C2A94"/>
    <w:rsid w:val="797C4DD7"/>
    <w:rsid w:val="799D05BD"/>
    <w:rsid w:val="79C3347E"/>
    <w:rsid w:val="79CD2C51"/>
    <w:rsid w:val="79ED50A1"/>
    <w:rsid w:val="79F931E1"/>
    <w:rsid w:val="79FC1788"/>
    <w:rsid w:val="7A027492"/>
    <w:rsid w:val="7A0348C4"/>
    <w:rsid w:val="7A1220CC"/>
    <w:rsid w:val="7A2F56B9"/>
    <w:rsid w:val="7A3C3932"/>
    <w:rsid w:val="7A575F57"/>
    <w:rsid w:val="7A5E5F9F"/>
    <w:rsid w:val="7A5F5708"/>
    <w:rsid w:val="7A7B50B2"/>
    <w:rsid w:val="7A8772A3"/>
    <w:rsid w:val="7AA15E8B"/>
    <w:rsid w:val="7AAD65DE"/>
    <w:rsid w:val="7AB11687"/>
    <w:rsid w:val="7AB931D5"/>
    <w:rsid w:val="7ACF6635"/>
    <w:rsid w:val="7ADB139D"/>
    <w:rsid w:val="7B1EE665"/>
    <w:rsid w:val="7B227565"/>
    <w:rsid w:val="7B2E5971"/>
    <w:rsid w:val="7B2F54B5"/>
    <w:rsid w:val="7B3D7962"/>
    <w:rsid w:val="7B5B24DE"/>
    <w:rsid w:val="7B66335D"/>
    <w:rsid w:val="7B694BFB"/>
    <w:rsid w:val="7B7315D6"/>
    <w:rsid w:val="7BA47323"/>
    <w:rsid w:val="7BAB5214"/>
    <w:rsid w:val="7BAF03F7"/>
    <w:rsid w:val="7BBA0FB3"/>
    <w:rsid w:val="7BCB31C0"/>
    <w:rsid w:val="7BD858DD"/>
    <w:rsid w:val="7BDA3403"/>
    <w:rsid w:val="7BDD38DF"/>
    <w:rsid w:val="7BEE5100"/>
    <w:rsid w:val="7BF904A3"/>
    <w:rsid w:val="7C180B2E"/>
    <w:rsid w:val="7C26131F"/>
    <w:rsid w:val="7C2720F2"/>
    <w:rsid w:val="7C35247C"/>
    <w:rsid w:val="7C43714C"/>
    <w:rsid w:val="7C5238E1"/>
    <w:rsid w:val="7C5A4544"/>
    <w:rsid w:val="7C63789C"/>
    <w:rsid w:val="7C9E08D4"/>
    <w:rsid w:val="7CB9570E"/>
    <w:rsid w:val="7CCD1A56"/>
    <w:rsid w:val="7CD267D0"/>
    <w:rsid w:val="7CD460A4"/>
    <w:rsid w:val="7CDC31AB"/>
    <w:rsid w:val="7CED7166"/>
    <w:rsid w:val="7D0C3A90"/>
    <w:rsid w:val="7D1D3EEF"/>
    <w:rsid w:val="7D3702E5"/>
    <w:rsid w:val="7D63567A"/>
    <w:rsid w:val="7D755AD9"/>
    <w:rsid w:val="7D8B70AB"/>
    <w:rsid w:val="7DA22646"/>
    <w:rsid w:val="7DAE4B47"/>
    <w:rsid w:val="7DAE6C72"/>
    <w:rsid w:val="7DB61C4E"/>
    <w:rsid w:val="7DCE51E9"/>
    <w:rsid w:val="7DD81917"/>
    <w:rsid w:val="7DD86068"/>
    <w:rsid w:val="7DDC1500"/>
    <w:rsid w:val="7DDE4768"/>
    <w:rsid w:val="7DF54524"/>
    <w:rsid w:val="7DFF35F5"/>
    <w:rsid w:val="7E0F7ABB"/>
    <w:rsid w:val="7E3712E7"/>
    <w:rsid w:val="7E505BFE"/>
    <w:rsid w:val="7E53749D"/>
    <w:rsid w:val="7E696CC0"/>
    <w:rsid w:val="7E6B31AE"/>
    <w:rsid w:val="7E6E42D6"/>
    <w:rsid w:val="7E9A331D"/>
    <w:rsid w:val="7EA146AC"/>
    <w:rsid w:val="7EB60008"/>
    <w:rsid w:val="7EC42148"/>
    <w:rsid w:val="7EDC30EB"/>
    <w:rsid w:val="7EEF2C4C"/>
    <w:rsid w:val="7EF8136D"/>
    <w:rsid w:val="7F0B6E76"/>
    <w:rsid w:val="7F141322"/>
    <w:rsid w:val="7F1B620C"/>
    <w:rsid w:val="7F267F08"/>
    <w:rsid w:val="7F3FD8F5"/>
    <w:rsid w:val="7F4642E4"/>
    <w:rsid w:val="7F4FF76D"/>
    <w:rsid w:val="7F565B5F"/>
    <w:rsid w:val="7F577294"/>
    <w:rsid w:val="7F7F4E8D"/>
    <w:rsid w:val="7F870019"/>
    <w:rsid w:val="7F89761A"/>
    <w:rsid w:val="7F961D37"/>
    <w:rsid w:val="7FBB6308"/>
    <w:rsid w:val="7FC3027E"/>
    <w:rsid w:val="7FC44AF6"/>
    <w:rsid w:val="7FDB3BED"/>
    <w:rsid w:val="7FDD1714"/>
    <w:rsid w:val="7FDF723A"/>
    <w:rsid w:val="B6DFD99A"/>
    <w:rsid w:val="BF47EA16"/>
    <w:rsid w:val="CFEF73C2"/>
    <w:rsid w:val="E74DD106"/>
    <w:rsid w:val="EAF9AAD5"/>
    <w:rsid w:val="EBFDE926"/>
    <w:rsid w:val="ECDCB5FD"/>
    <w:rsid w:val="EEF79D81"/>
    <w:rsid w:val="FBF59284"/>
    <w:rsid w:val="FD77ADB3"/>
    <w:rsid w:val="FEFDF03F"/>
    <w:rsid w:val="FEFF59ED"/>
    <w:rsid w:val="FF8F13CE"/>
    <w:rsid w:val="FFDAD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1830"/>
      </w:tabs>
      <w:ind w:left="1830" w:hanging="360"/>
      <w:outlineLvl w:val="0"/>
    </w:pPr>
    <w:rPr>
      <w:rFonts w:ascii="Arial" w:hAnsi="Arial" w:eastAsia="仿宋_GB2312"/>
      <w:sz w:val="28"/>
      <w:szCs w:val="20"/>
      <w:lang w:bidi="he-IL"/>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link w:val="41"/>
    <w:qFormat/>
    <w:uiPriority w:val="0"/>
    <w:pPr>
      <w:spacing w:after="120"/>
    </w:pPr>
  </w:style>
  <w:style w:type="paragraph" w:styleId="6">
    <w:name w:val="Plain Text"/>
    <w:basedOn w:val="1"/>
    <w:qFormat/>
    <w:uiPriority w:val="0"/>
    <w:rPr>
      <w:rFonts w:ascii="宋体" w:hAnsi="Courier New"/>
    </w:rPr>
  </w:style>
  <w:style w:type="paragraph" w:styleId="7">
    <w:name w:val="Balloon Text"/>
    <w:basedOn w:val="1"/>
    <w:link w:val="40"/>
    <w:qFormat/>
    <w:uiPriority w:val="0"/>
    <w:rPr>
      <w:sz w:val="18"/>
      <w:szCs w:val="18"/>
    </w:rPr>
  </w:style>
  <w:style w:type="paragraph" w:styleId="8">
    <w:name w:val="footer"/>
    <w:basedOn w:val="1"/>
    <w:link w:val="53"/>
    <w:qFormat/>
    <w:uiPriority w:val="99"/>
    <w:pPr>
      <w:tabs>
        <w:tab w:val="center" w:pos="4153"/>
        <w:tab w:val="right" w:pos="8306"/>
      </w:tabs>
      <w:snapToGrid w:val="0"/>
      <w:jc w:val="left"/>
    </w:pPr>
    <w:rPr>
      <w:sz w:val="18"/>
      <w:szCs w:val="20"/>
      <w:lang w:bidi="he-IL"/>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1"/>
    <w:next w:val="1"/>
    <w:qFormat/>
    <w:uiPriority w:val="39"/>
    <w:rPr>
      <w:rFonts w:eastAsia="黑体"/>
      <w:sz w:val="28"/>
    </w:rPr>
  </w:style>
  <w:style w:type="paragraph" w:styleId="11">
    <w:name w:val="index 1"/>
    <w:basedOn w:val="1"/>
    <w:next w:val="1"/>
    <w:semiHidden/>
    <w:qFormat/>
    <w:uiPriority w:val="0"/>
    <w:rPr>
      <w:rFonts w:eastAsia="仿宋_GB2312"/>
      <w:b/>
      <w:sz w:val="24"/>
      <w:szCs w:val="20"/>
    </w:rPr>
  </w:style>
  <w:style w:type="paragraph" w:styleId="12">
    <w:name w:val="toc 2"/>
    <w:basedOn w:val="13"/>
    <w:next w:val="13"/>
    <w:qFormat/>
    <w:uiPriority w:val="39"/>
    <w:pPr>
      <w:ind w:left="420"/>
    </w:pPr>
    <w:rPr>
      <w:rFonts w:eastAsia="仿宋_GB2312"/>
      <w:b/>
      <w:sz w:val="24"/>
    </w:rPr>
  </w:style>
  <w:style w:type="paragraph" w:styleId="13">
    <w:name w:val="index 2"/>
    <w:basedOn w:val="1"/>
    <w:next w:val="1"/>
    <w:qFormat/>
    <w:uiPriority w:val="0"/>
    <w:pPr>
      <w:ind w:left="200" w:leftChars="200"/>
    </w:pPr>
    <w:rPr>
      <w:szCs w:val="20"/>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5"/>
    <w:link w:val="42"/>
    <w:unhideWhenUsed/>
    <w:qFormat/>
    <w:uiPriority w:val="99"/>
    <w:pPr>
      <w:spacing w:line="400" w:lineRule="atLeast"/>
      <w:ind w:firstLine="426"/>
    </w:pPr>
    <w:rPr>
      <w:sz w:val="24"/>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rPr>
      <w:color w:val="CC0000"/>
    </w:rPr>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color w:val="0000FF"/>
      <w:u w:val="singl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rPr>
      <w:color w:val="008000"/>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ascii="monospace" w:hAnsi="monospace" w:eastAsia="monospace" w:cs="monospace"/>
    </w:rPr>
  </w:style>
  <w:style w:type="paragraph" w:customStyle="1" w:styleId="32">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33">
    <w:name w:val="章标题"/>
    <w:basedOn w:val="1"/>
    <w:qFormat/>
    <w:uiPriority w:val="0"/>
    <w:pPr>
      <w:jc w:val="center"/>
    </w:pPr>
    <w:rPr>
      <w:rFonts w:ascii="宋体" w:hAnsi="宋体" w:eastAsia="黑体"/>
      <w:b/>
      <w:sz w:val="28"/>
      <w:szCs w:val="30"/>
    </w:rPr>
  </w:style>
  <w:style w:type="paragraph" w:customStyle="1" w:styleId="34">
    <w:name w:val="GW-正文"/>
    <w:basedOn w:val="1"/>
    <w:qFormat/>
    <w:uiPriority w:val="0"/>
    <w:pPr>
      <w:spacing w:line="360" w:lineRule="auto"/>
      <w:ind w:firstLine="200" w:firstLineChars="200"/>
      <w:contextualSpacing/>
    </w:pPr>
  </w:style>
  <w:style w:type="paragraph" w:customStyle="1" w:styleId="35">
    <w:name w:val="p0"/>
    <w:basedOn w:val="1"/>
    <w:qFormat/>
    <w:uiPriority w:val="0"/>
    <w:pPr>
      <w:widowControl/>
    </w:pPr>
    <w:rPr>
      <w:kern w:val="0"/>
      <w:szCs w:val="21"/>
    </w:rPr>
  </w:style>
  <w:style w:type="paragraph" w:customStyle="1" w:styleId="36">
    <w:name w:val="节标题"/>
    <w:basedOn w:val="1"/>
    <w:qFormat/>
    <w:uiPriority w:val="0"/>
    <w:pPr>
      <w:ind w:firstLine="1928" w:firstLineChars="800"/>
    </w:pPr>
    <w:rPr>
      <w:rFonts w:ascii="宋体" w:hAnsi="宋体" w:cs="Arial"/>
      <w:b/>
    </w:rPr>
  </w:style>
  <w:style w:type="paragraph" w:customStyle="1" w:styleId="37">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8">
    <w:name w:val="fontstyle01"/>
    <w:qFormat/>
    <w:uiPriority w:val="0"/>
    <w:rPr>
      <w:rFonts w:hint="eastAsia" w:ascii="宋体" w:hAnsi="宋体" w:eastAsia="宋体"/>
      <w:color w:val="000000"/>
      <w:sz w:val="24"/>
      <w:szCs w:val="24"/>
    </w:rPr>
  </w:style>
  <w:style w:type="character" w:customStyle="1" w:styleId="39">
    <w:name w:val="标题 2 Char"/>
    <w:link w:val="3"/>
    <w:qFormat/>
    <w:uiPriority w:val="0"/>
    <w:rPr>
      <w:rFonts w:ascii="Arial" w:hAnsi="Arial" w:eastAsia="黑体"/>
      <w:b/>
      <w:bCs/>
      <w:sz w:val="32"/>
      <w:szCs w:val="32"/>
    </w:rPr>
  </w:style>
  <w:style w:type="character" w:customStyle="1" w:styleId="40">
    <w:name w:val="批注框文本 Char"/>
    <w:basedOn w:val="18"/>
    <w:link w:val="7"/>
    <w:qFormat/>
    <w:uiPriority w:val="0"/>
    <w:rPr>
      <w:kern w:val="2"/>
      <w:sz w:val="18"/>
      <w:szCs w:val="18"/>
    </w:rPr>
  </w:style>
  <w:style w:type="character" w:customStyle="1" w:styleId="41">
    <w:name w:val="正文文本 Char"/>
    <w:basedOn w:val="18"/>
    <w:link w:val="5"/>
    <w:qFormat/>
    <w:uiPriority w:val="0"/>
    <w:rPr>
      <w:kern w:val="2"/>
      <w:sz w:val="21"/>
      <w:szCs w:val="24"/>
    </w:rPr>
  </w:style>
  <w:style w:type="character" w:customStyle="1" w:styleId="42">
    <w:name w:val="正文首行缩进 Char"/>
    <w:basedOn w:val="41"/>
    <w:link w:val="15"/>
    <w:qFormat/>
    <w:uiPriority w:val="99"/>
    <w:rPr>
      <w:kern w:val="2"/>
      <w:sz w:val="24"/>
      <w:szCs w:val="24"/>
    </w:rPr>
  </w:style>
  <w:style w:type="paragraph" w:customStyle="1" w:styleId="43">
    <w:name w:val="列出段落1"/>
    <w:basedOn w:val="1"/>
    <w:qFormat/>
    <w:uiPriority w:val="34"/>
    <w:pPr>
      <w:ind w:firstLine="420" w:firstLineChars="200"/>
    </w:pPr>
    <w:rPr>
      <w:rFonts w:ascii="Calibri" w:hAnsi="Calibri"/>
      <w:szCs w:val="22"/>
    </w:rPr>
  </w:style>
  <w:style w:type="character" w:customStyle="1" w:styleId="44">
    <w:name w:val="c-icon13"/>
    <w:basedOn w:val="18"/>
    <w:qFormat/>
    <w:uiPriority w:val="0"/>
  </w:style>
  <w:style w:type="character" w:customStyle="1" w:styleId="45">
    <w:name w:val="c-icon14"/>
    <w:basedOn w:val="18"/>
    <w:qFormat/>
    <w:uiPriority w:val="0"/>
  </w:style>
  <w:style w:type="character" w:customStyle="1" w:styleId="46">
    <w:name w:val="hover18"/>
    <w:basedOn w:val="18"/>
    <w:qFormat/>
    <w:uiPriority w:val="0"/>
  </w:style>
  <w:style w:type="character" w:customStyle="1" w:styleId="47">
    <w:name w:val="hover19"/>
    <w:basedOn w:val="18"/>
    <w:qFormat/>
    <w:uiPriority w:val="0"/>
    <w:rPr>
      <w:color w:val="315EFB"/>
    </w:rPr>
  </w:style>
  <w:style w:type="character" w:customStyle="1" w:styleId="48">
    <w:name w:val="c-icon28"/>
    <w:basedOn w:val="18"/>
    <w:qFormat/>
    <w:uiPriority w:val="0"/>
  </w:style>
  <w:style w:type="character" w:customStyle="1" w:styleId="49">
    <w:name w:val="c-icon26"/>
    <w:basedOn w:val="18"/>
    <w:qFormat/>
    <w:uiPriority w:val="0"/>
  </w:style>
  <w:style w:type="paragraph" w:customStyle="1" w:styleId="50">
    <w:name w:val="列出段落2"/>
    <w:basedOn w:val="1"/>
    <w:qFormat/>
    <w:uiPriority w:val="34"/>
    <w:pPr>
      <w:ind w:firstLine="420" w:firstLineChars="200"/>
    </w:pPr>
    <w:rPr>
      <w:kern w:val="0"/>
      <w:sz w:val="20"/>
      <w:szCs w:val="20"/>
    </w:rPr>
  </w:style>
  <w:style w:type="character" w:customStyle="1" w:styleId="51">
    <w:name w:val="font41"/>
    <w:basedOn w:val="18"/>
    <w:qFormat/>
    <w:uiPriority w:val="0"/>
    <w:rPr>
      <w:rFonts w:hint="default" w:ascii="等线" w:hAnsi="等线" w:eastAsia="等线" w:cs="等线"/>
      <w:color w:val="000000"/>
      <w:sz w:val="22"/>
      <w:szCs w:val="22"/>
      <w:u w:val="none"/>
    </w:rPr>
  </w:style>
  <w:style w:type="character" w:customStyle="1" w:styleId="52">
    <w:name w:val="font01"/>
    <w:basedOn w:val="18"/>
    <w:qFormat/>
    <w:uiPriority w:val="0"/>
    <w:rPr>
      <w:rFonts w:ascii="DengXian ( 正文 )" w:hAnsi="DengXian ( 正文 )" w:eastAsia="DengXian ( 正文 )" w:cs="DengXian ( 正文 )"/>
      <w:color w:val="000000"/>
      <w:sz w:val="22"/>
      <w:szCs w:val="22"/>
      <w:u w:val="none"/>
    </w:rPr>
  </w:style>
  <w:style w:type="character" w:customStyle="1" w:styleId="53">
    <w:name w:val="页脚 Char"/>
    <w:link w:val="8"/>
    <w:qFormat/>
    <w:uiPriority w:val="99"/>
    <w:rPr>
      <w:rFonts w:ascii="Times New Roman" w:hAnsi="Times New Roman"/>
      <w:kern w:val="2"/>
      <w:sz w:val="18"/>
      <w:lang w:bidi="he-IL"/>
    </w:rPr>
  </w:style>
  <w:style w:type="paragraph" w:customStyle="1" w:styleId="5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55">
    <w:name w:val="样式 标题 2 + 宋体 五号 行距: 单倍行距"/>
    <w:basedOn w:val="3"/>
    <w:qFormat/>
    <w:uiPriority w:val="0"/>
    <w:pPr>
      <w:spacing w:line="240" w:lineRule="auto"/>
    </w:pPr>
    <w:rPr>
      <w:rFonts w:ascii="宋体" w:hAnsi="宋体" w:eastAsia="宋体"/>
      <w:sz w:val="21"/>
    </w:rPr>
  </w:style>
  <w:style w:type="character" w:customStyle="1" w:styleId="56">
    <w:name w:val="标题 2 Char1"/>
    <w:link w:val="3"/>
    <w:qFormat/>
    <w:uiPriority w:val="0"/>
    <w:rPr>
      <w:rFonts w:ascii="Arial" w:hAnsi="Arial" w:eastAsia="黑体"/>
      <w:b/>
      <w:bCs/>
      <w:sz w:val="32"/>
      <w:szCs w:val="32"/>
    </w:rPr>
  </w:style>
  <w:style w:type="character" w:customStyle="1" w:styleId="57">
    <w:name w:val="hover5"/>
    <w:basedOn w:val="18"/>
    <w:qFormat/>
    <w:uiPriority w:val="0"/>
    <w:rPr>
      <w:u w:val="single"/>
    </w:rPr>
  </w:style>
  <w:style w:type="character" w:customStyle="1" w:styleId="58">
    <w:name w:val="first-child"/>
    <w:basedOn w:val="18"/>
    <w:qFormat/>
    <w:uiPriority w:val="0"/>
  </w:style>
  <w:style w:type="character" w:customStyle="1" w:styleId="59">
    <w:name w:val="layui-this"/>
    <w:basedOn w:val="18"/>
    <w:qFormat/>
    <w:uiPriority w:val="0"/>
    <w:rPr>
      <w:bdr w:val="single" w:color="EEEEEE" w:sz="6" w:space="0"/>
      <w:shd w:val="clear" w:fill="FFFFFF"/>
    </w:rPr>
  </w:style>
  <w:style w:type="paragraph" w:styleId="60">
    <w:name w:val="List Paragraph"/>
    <w:basedOn w:val="1"/>
    <w:qFormat/>
    <w:uiPriority w:val="1"/>
    <w:pPr>
      <w:ind w:left="741" w:hanging="602"/>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6911</Words>
  <Characters>7323</Characters>
  <Lines>130</Lines>
  <Paragraphs>36</Paragraphs>
  <TotalTime>3</TotalTime>
  <ScaleCrop>false</ScaleCrop>
  <LinksUpToDate>false</LinksUpToDate>
  <CharactersWithSpaces>7469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2020-02-04T00:14:00Z</dcterms:created>
  <dc:creator>Vincent</dc:creator>
  <cp:lastModifiedBy>Star</cp:lastModifiedBy>
  <cp:lastPrinted>2025-12-02T06:34:00Z</cp:lastPrinted>
  <dcterms:modified xsi:type="dcterms:W3CDTF">2026-04-13T01:47:45Z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0F511E2BDBC34DCE9E81EBDA769FEE87_13</vt:lpwstr>
  </property>
  <property fmtid="{D5CDD505-2E9C-101B-9397-08002B2CF9AE}" pid="4" name="KSOTemplateDocerSaveRecord">
    <vt:lpwstr>eyJoZGlkIjoiYTJhYjRhNDQ0YmE0YmY2YjRlNWVlMjA5MGM1MDg3YjMiLCJ1c2VySWQiOiI0NzE1ODkwMDUifQ==</vt:lpwstr>
  </property>
</Properties>
</file>