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7720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r>
        <w:t>拟购</w:t>
      </w:r>
      <w:r>
        <w:rPr>
          <w:u w:val="single"/>
        </w:rPr>
        <w:t xml:space="preserve"> 射频热凝器</w:t>
      </w:r>
      <w:r>
        <w:t>项目初步参数论证征集意见表</w:t>
      </w:r>
    </w:p>
    <w:p w14:paraId="2F30222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Calibri" w:hAnsi="Calibri" w:cs="Calibri"/>
          <w:color w:val="000000"/>
          <w:sz w:val="24"/>
          <w:szCs w:val="24"/>
        </w:rPr>
        <w:t> </w:t>
      </w:r>
    </w:p>
    <w:p w14:paraId="22BDDE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ascii="仿宋" w:hAnsi="仿宋" w:eastAsia="仿宋" w:cs="仿宋"/>
          <w:color w:val="000000"/>
          <w:sz w:val="21"/>
          <w:szCs w:val="21"/>
        </w:rPr>
        <w:t>供应商、联系人及电话（加盖公章）：</w:t>
      </w:r>
      <w:r>
        <w:rPr>
          <w:rFonts w:hint="eastAsia" w:ascii="仿宋" w:hAnsi="仿宋" w:eastAsia="仿宋" w:cs="仿宋"/>
          <w:color w:val="000000"/>
          <w:sz w:val="21"/>
          <w:szCs w:val="21"/>
          <w:u w:val="single"/>
        </w:rPr>
        <w:t xml:space="preserve">                                                      </w:t>
      </w:r>
    </w:p>
    <w:p w14:paraId="610CC0E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产品品牌、规格型号、产地、医疗器械注册证号及最低报价：</w:t>
      </w:r>
      <w:r>
        <w:rPr>
          <w:rFonts w:hint="eastAsia" w:ascii="仿宋" w:hAnsi="仿宋" w:eastAsia="仿宋" w:cs="仿宋"/>
          <w:color w:val="000000"/>
          <w:sz w:val="21"/>
          <w:szCs w:val="21"/>
          <w:u w:val="single"/>
        </w:rPr>
        <w:t xml:space="preserve">                                 </w:t>
      </w:r>
    </w:p>
    <w:p w14:paraId="46CBD28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备注：</w:t>
      </w:r>
    </w:p>
    <w:p w14:paraId="1B83A62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1、按要求格式填写并每页加盖报名供应商公章【电子章无效】，在规定时间内以</w:t>
      </w:r>
      <w:r>
        <w:rPr>
          <w:rFonts w:hint="eastAsia" w:ascii="仿宋" w:hAnsi="仿宋" w:eastAsia="仿宋" w:cs="仿宋"/>
          <w:b/>
          <w:bCs/>
          <w:color w:val="000000"/>
          <w:sz w:val="21"/>
          <w:szCs w:val="21"/>
        </w:rPr>
        <w:t>原件扫描件和电子版形式</w:t>
      </w:r>
      <w:r>
        <w:rPr>
          <w:rFonts w:hint="eastAsia" w:ascii="仿宋" w:hAnsi="仿宋" w:eastAsia="仿宋" w:cs="仿宋"/>
          <w:color w:val="000000"/>
          <w:sz w:val="21"/>
          <w:szCs w:val="21"/>
        </w:rPr>
        <w:t>发送至医院指定邮箱（医学装备部：YJQRMYYZBB@163.com）；</w:t>
      </w:r>
    </w:p>
    <w:p w14:paraId="056F9AC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2、响应情况（是/否）若为否则须标注具体建议修改指标（</w:t>
      </w:r>
      <w:r>
        <w:rPr>
          <w:rFonts w:hint="eastAsia" w:ascii="仿宋" w:hAnsi="仿宋" w:eastAsia="仿宋" w:cs="仿宋"/>
          <w:b/>
          <w:bCs/>
          <w:color w:val="000000"/>
          <w:sz w:val="21"/>
          <w:szCs w:val="21"/>
        </w:rPr>
        <w:t>未标注则默认为响应参数</w:t>
      </w:r>
      <w:r>
        <w:rPr>
          <w:rFonts w:hint="eastAsia" w:ascii="仿宋" w:hAnsi="仿宋" w:eastAsia="仿宋" w:cs="仿宋"/>
          <w:color w:val="000000"/>
          <w:sz w:val="21"/>
          <w:szCs w:val="21"/>
        </w:rPr>
        <w:t>），</w:t>
      </w:r>
      <w:r>
        <w:rPr>
          <w:rFonts w:hint="eastAsia" w:ascii="仿宋" w:hAnsi="仿宋" w:eastAsia="仿宋" w:cs="仿宋"/>
          <w:b/>
          <w:bCs/>
          <w:color w:val="000000"/>
          <w:sz w:val="21"/>
          <w:szCs w:val="21"/>
        </w:rPr>
        <w:t>建议修改指标须提供相应证明材料</w:t>
      </w:r>
      <w:r>
        <w:rPr>
          <w:rFonts w:hint="eastAsia" w:ascii="仿宋" w:hAnsi="仿宋" w:eastAsia="仿宋" w:cs="仿宋"/>
          <w:color w:val="000000"/>
          <w:sz w:val="21"/>
          <w:szCs w:val="21"/>
        </w:rPr>
        <w:t>（★项证明材料须为政府主管部门【或具备CMA&lt;或CNAS&gt;资质检测机构】出具的检测报告，非★项证明材料可为除彩页外的其他材料，</w:t>
      </w:r>
      <w:r>
        <w:rPr>
          <w:rFonts w:hint="eastAsia" w:ascii="仿宋" w:hAnsi="仿宋" w:eastAsia="仿宋" w:cs="仿宋"/>
          <w:b/>
          <w:bCs/>
          <w:color w:val="000000"/>
          <w:sz w:val="21"/>
          <w:szCs w:val="21"/>
        </w:rPr>
        <w:t>无证明材料则可不予采纳</w:t>
      </w:r>
      <w:r>
        <w:rPr>
          <w:rFonts w:hint="eastAsia" w:ascii="仿宋" w:hAnsi="仿宋" w:eastAsia="仿宋" w:cs="仿宋"/>
          <w:color w:val="000000"/>
          <w:sz w:val="21"/>
          <w:szCs w:val="21"/>
        </w:rPr>
        <w:t>；建议修改意见原则上须满足业界主流品牌同档次水平产品且不得为独家），</w:t>
      </w:r>
      <w:r>
        <w:rPr>
          <w:rFonts w:hint="eastAsia" w:ascii="仿宋" w:hAnsi="仿宋" w:eastAsia="仿宋" w:cs="仿宋"/>
          <w:b/>
          <w:bCs/>
          <w:color w:val="000000"/>
          <w:sz w:val="21"/>
          <w:szCs w:val="21"/>
          <w:u w:val="single"/>
        </w:rPr>
        <w:t>同时务必备注本品牌本规格型号产品相对应的真实指标并标注是否为独家（供医院汇总定稿版参数时选择）；</w:t>
      </w:r>
    </w:p>
    <w:p w14:paraId="5C599E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3、院方根据各潜在供应商提供的配套耗材和</w:t>
      </w:r>
      <w:r>
        <w:rPr>
          <w:rFonts w:hint="eastAsia" w:ascii="仿宋" w:hAnsi="仿宋" w:eastAsia="仿宋" w:cs="仿宋"/>
          <w:color w:val="000000"/>
          <w:sz w:val="21"/>
          <w:szCs w:val="21"/>
          <w:lang w:eastAsia="zh-CN"/>
        </w:rPr>
        <w:t>需</w:t>
      </w:r>
      <w:r>
        <w:rPr>
          <w:rFonts w:hint="eastAsia" w:ascii="仿宋" w:hAnsi="仿宋" w:eastAsia="仿宋" w:cs="仿宋"/>
          <w:color w:val="000000"/>
          <w:sz w:val="21"/>
          <w:szCs w:val="21"/>
        </w:rPr>
        <w:t>定期更换零部件的报价清单(须同步提供近2年内</w:t>
      </w:r>
      <w:r>
        <w:rPr>
          <w:rFonts w:hint="eastAsia" w:ascii="仿宋" w:hAnsi="仿宋" w:eastAsia="仿宋" w:cs="仿宋"/>
          <w:color w:val="000000"/>
          <w:sz w:val="21"/>
          <w:szCs w:val="21"/>
          <w:lang w:eastAsia="zh-CN"/>
        </w:rPr>
        <w:t>至少3家二级及</w:t>
      </w:r>
      <w:r>
        <w:rPr>
          <w:rFonts w:hint="eastAsia" w:ascii="仿宋" w:hAnsi="仿宋" w:eastAsia="仿宋" w:cs="仿宋"/>
          <w:color w:val="000000"/>
          <w:sz w:val="21"/>
          <w:szCs w:val="21"/>
        </w:rPr>
        <w:t>医院发票原件扫描件和入库清单【遮挡无效】)进行设置相关报价限价，若潜在供应商均未提供报价清单（含发票原件扫描件和入库清单）则视同本项目无耗材和</w:t>
      </w:r>
      <w:r>
        <w:rPr>
          <w:rFonts w:hint="eastAsia" w:ascii="仿宋" w:hAnsi="仿宋" w:eastAsia="仿宋" w:cs="仿宋"/>
          <w:color w:val="000000"/>
          <w:sz w:val="21"/>
          <w:szCs w:val="21"/>
          <w:lang w:eastAsia="zh-CN"/>
        </w:rPr>
        <w:t>需</w:t>
      </w:r>
      <w:r>
        <w:rPr>
          <w:rFonts w:hint="eastAsia" w:ascii="仿宋" w:hAnsi="仿宋" w:eastAsia="仿宋" w:cs="仿宋"/>
          <w:color w:val="000000"/>
          <w:sz w:val="21"/>
          <w:szCs w:val="21"/>
        </w:rPr>
        <w:t>定期更换零部件。</w:t>
      </w:r>
    </w:p>
    <w:p w14:paraId="0F1992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2"/>
        <w:jc w:val="both"/>
      </w:pPr>
      <w:r>
        <w:rPr>
          <w:rFonts w:hint="eastAsia" w:ascii="仿宋" w:hAnsi="仿宋" w:eastAsia="仿宋" w:cs="仿宋"/>
          <w:b/>
          <w:bCs/>
          <w:color w:val="000000"/>
          <w:sz w:val="21"/>
          <w:szCs w:val="21"/>
        </w:rPr>
        <w:t>4、杜绝</w:t>
      </w:r>
      <w:r>
        <w:rPr>
          <w:rFonts w:hint="eastAsia" w:ascii="仿宋" w:hAnsi="仿宋" w:eastAsia="仿宋" w:cs="仿宋"/>
          <w:b/>
          <w:bCs/>
          <w:color w:val="000000"/>
          <w:sz w:val="21"/>
          <w:szCs w:val="21"/>
          <w:lang w:eastAsia="zh-CN"/>
        </w:rPr>
        <w:t>两个</w:t>
      </w:r>
      <w:r>
        <w:rPr>
          <w:rFonts w:hint="eastAsia" w:ascii="仿宋" w:hAnsi="仿宋" w:eastAsia="仿宋" w:cs="仿宋"/>
          <w:b/>
          <w:bCs/>
          <w:color w:val="000000"/>
          <w:sz w:val="21"/>
          <w:szCs w:val="21"/>
        </w:rPr>
        <w:t>现象：</w:t>
      </w:r>
      <w:r>
        <w:rPr>
          <w:rFonts w:hint="eastAsia" w:ascii="仿宋" w:hAnsi="仿宋" w:eastAsia="仿宋" w:cs="仿宋"/>
          <w:color w:val="000000"/>
          <w:sz w:val="21"/>
          <w:szCs w:val="21"/>
        </w:rPr>
        <w:t>一是整机保修3年，保修范围不包含须定期更换零部件，须定期更换零部件报价清单如下...；二是将须定期更换零部件变为耗材，恶意降低货物价格，提高耗材价（或直接提高耗材报价）。</w:t>
      </w:r>
    </w:p>
    <w:p w14:paraId="76FAE44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5、</w:t>
      </w:r>
      <w:r>
        <w:rPr>
          <w:rFonts w:hint="eastAsia" w:ascii="仿宋" w:hAnsi="仿宋" w:eastAsia="仿宋" w:cs="仿宋"/>
          <w:color w:val="FF0000"/>
          <w:sz w:val="21"/>
          <w:szCs w:val="21"/>
        </w:rPr>
        <w:t>拟设置为</w:t>
      </w:r>
      <w:r>
        <w:rPr>
          <w:rFonts w:hint="eastAsia" w:ascii="仿宋" w:hAnsi="仿宋" w:eastAsia="仿宋" w:cs="仿宋"/>
          <w:color w:val="000000"/>
          <w:sz w:val="21"/>
          <w:szCs w:val="21"/>
        </w:rPr>
        <w:t>★项参数</w:t>
      </w:r>
      <w:r>
        <w:rPr>
          <w:rFonts w:hint="eastAsia" w:ascii="仿宋" w:hAnsi="仿宋" w:eastAsia="仿宋" w:cs="仿宋"/>
          <w:color w:val="FF0000"/>
          <w:sz w:val="21"/>
          <w:szCs w:val="21"/>
        </w:rPr>
        <w:t>(★项标准：拟购设备核心参数指标</w:t>
      </w:r>
      <w:r>
        <w:rPr>
          <w:rFonts w:hint="eastAsia" w:ascii="仿宋" w:hAnsi="仿宋" w:eastAsia="仿宋" w:cs="仿宋"/>
          <w:b/>
          <w:bCs/>
          <w:color w:val="000000"/>
          <w:sz w:val="21"/>
          <w:szCs w:val="21"/>
        </w:rPr>
        <w:t>【如有不妥，请提出并提供权威部门证明文件，否则不予采纳】)</w:t>
      </w:r>
      <w:r>
        <w:rPr>
          <w:rFonts w:hint="eastAsia" w:ascii="仿宋" w:hAnsi="仿宋" w:eastAsia="仿宋" w:cs="仿宋"/>
          <w:color w:val="000000"/>
          <w:sz w:val="21"/>
          <w:szCs w:val="21"/>
        </w:rPr>
        <w:t>要求投标人在投标文件中所提供的证明材料须为政府主管部门</w:t>
      </w:r>
      <w:r>
        <w:rPr>
          <w:rFonts w:hint="eastAsia" w:ascii="仿宋" w:hAnsi="仿宋" w:eastAsia="仿宋" w:cs="仿宋"/>
          <w:b/>
          <w:bCs/>
          <w:color w:val="000000"/>
          <w:sz w:val="21"/>
          <w:szCs w:val="21"/>
        </w:rPr>
        <w:t>（或具备CMA【或CNAS】资质检测机构）</w:t>
      </w:r>
      <w:r>
        <w:rPr>
          <w:rFonts w:hint="eastAsia" w:ascii="仿宋" w:hAnsi="仿宋" w:eastAsia="仿宋" w:cs="仿宋"/>
          <w:color w:val="000000"/>
          <w:sz w:val="21"/>
          <w:szCs w:val="21"/>
        </w:rPr>
        <w:t>出具的质检报告原件扫描件（政府主管部门如国家食药监局或其下属单位或省级医疗器械检验机构或省级食品药品检验机构等）。</w:t>
      </w:r>
    </w:p>
    <w:p w14:paraId="3C7463A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附件：表1-4</w:t>
      </w:r>
    </w:p>
    <w:p w14:paraId="06F468F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jc w:val="both"/>
      </w:pPr>
      <w:r>
        <w:rPr>
          <w:rFonts w:hint="default" w:ascii="Calibri" w:hAnsi="Calibri" w:cs="Calibri"/>
          <w:color w:val="000000"/>
          <w:sz w:val="24"/>
          <w:szCs w:val="24"/>
        </w:rPr>
        <w:t> </w:t>
      </w:r>
    </w:p>
    <w:p w14:paraId="0A62BF9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第一部分：拟购项目参数结构</w:t>
      </w:r>
    </w:p>
    <w:tbl>
      <w:tblPr>
        <w:tblStyle w:val="3"/>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51"/>
        <w:gridCol w:w="1579"/>
        <w:gridCol w:w="3067"/>
        <w:gridCol w:w="718"/>
        <w:gridCol w:w="589"/>
        <w:gridCol w:w="734"/>
        <w:gridCol w:w="1380"/>
      </w:tblGrid>
      <w:tr w14:paraId="2664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PrEx>
        <w:trPr>
          <w:tblCellSpacing w:w="0" w:type="dxa"/>
        </w:trPr>
        <w:tc>
          <w:tcPr>
            <w:tcW w:w="60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63995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本项目参数拟设置情况</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81AE0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98E5D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F16B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备注（真实指标、是否独家、是否提供有效检测报告）</w:t>
            </w:r>
          </w:p>
        </w:tc>
      </w:tr>
      <w:tr w14:paraId="45DB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8DA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09D6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7AB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参数设置情况</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3D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是否设置为★</w:t>
            </w: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56E130">
            <w:pPr>
              <w:rPr>
                <w:rFonts w:hint="eastAsia" w:ascii="宋体"/>
                <w:sz w:val="24"/>
                <w:szCs w:val="24"/>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48B0B">
            <w:pPr>
              <w:rPr>
                <w:rFonts w:hint="eastAsia" w:ascii="宋体"/>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AF4BC">
            <w:pPr>
              <w:rPr>
                <w:rFonts w:hint="eastAsia" w:ascii="宋体"/>
                <w:sz w:val="24"/>
                <w:szCs w:val="24"/>
              </w:rPr>
            </w:pPr>
          </w:p>
        </w:tc>
      </w:tr>
      <w:tr w14:paraId="64A52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683273BD">
            <w:r>
              <w:t>1</w:t>
            </w:r>
          </w:p>
        </w:tc>
        <w:tc>
          <w:tcPr>
            <w:tcW w:w="1579" w:type="dxa"/>
            <w:shd w:val="clear" w:color="auto" w:fill="FFFFFF"/>
          </w:tcPr>
          <w:p w14:paraId="3C834651">
            <w:r>
              <w:t>基本参数</w:t>
            </w:r>
          </w:p>
        </w:tc>
        <w:tc>
          <w:tcPr>
            <w:tcW w:w="3067" w:type="dxa"/>
            <w:shd w:val="clear" w:color="auto" w:fill="FFFFFF"/>
          </w:tcPr>
          <w:p w14:paraId="2FBB885F">
            <w:r>
              <w:t>显示屏：≥10寸高亮、</w:t>
            </w:r>
            <w:r>
              <w:rPr>
                <w:rFonts w:hint="eastAsia"/>
                <w:lang w:eastAsia="zh-CN"/>
              </w:rPr>
              <w:t>高分辨率</w:t>
            </w:r>
            <w:r>
              <w:t>触控4K强化玻璃触控显示屏，中文操作界面，内置一键式模式控制模块，操作简单方便。</w:t>
            </w:r>
          </w:p>
        </w:tc>
        <w:tc>
          <w:tcPr>
            <w:tcW w:w="718" w:type="dxa"/>
            <w:shd w:val="clear" w:color="auto" w:fill="FFFFFF"/>
          </w:tcPr>
          <w:p w14:paraId="79D5EF9F"/>
        </w:tc>
        <w:tc>
          <w:tcPr>
            <w:tcW w:w="589" w:type="dxa"/>
            <w:shd w:val="clear" w:color="auto" w:fill="FFFFFF"/>
          </w:tcPr>
          <w:p w14:paraId="59F82A9B"/>
        </w:tc>
        <w:tc>
          <w:tcPr>
            <w:tcW w:w="734" w:type="dxa"/>
            <w:shd w:val="clear" w:color="auto" w:fill="FFFFFF"/>
          </w:tcPr>
          <w:p w14:paraId="2F53DB5B"/>
        </w:tc>
        <w:tc>
          <w:tcPr>
            <w:tcW w:w="1380" w:type="dxa"/>
            <w:shd w:val="clear" w:color="auto" w:fill="FFFFFF"/>
          </w:tcPr>
          <w:p w14:paraId="2F2A01FC"/>
        </w:tc>
      </w:tr>
      <w:tr w14:paraId="26EDC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6EF34EF3">
            <w:r>
              <w:t>2</w:t>
            </w:r>
          </w:p>
        </w:tc>
        <w:tc>
          <w:tcPr>
            <w:tcW w:w="1579" w:type="dxa"/>
            <w:shd w:val="clear" w:color="auto" w:fill="FFFFFF"/>
          </w:tcPr>
          <w:p w14:paraId="7224659C"/>
        </w:tc>
        <w:tc>
          <w:tcPr>
            <w:tcW w:w="3067" w:type="dxa"/>
            <w:shd w:val="clear" w:color="auto" w:fill="FFFFFF"/>
          </w:tcPr>
          <w:p w14:paraId="0B13AE17">
            <w:r>
              <w:t>机器使用年限10年。</w:t>
            </w:r>
          </w:p>
        </w:tc>
        <w:tc>
          <w:tcPr>
            <w:tcW w:w="718" w:type="dxa"/>
            <w:shd w:val="clear" w:color="auto" w:fill="FFFFFF"/>
          </w:tcPr>
          <w:p w14:paraId="2D719B40"/>
        </w:tc>
        <w:tc>
          <w:tcPr>
            <w:tcW w:w="589" w:type="dxa"/>
            <w:shd w:val="clear" w:color="auto" w:fill="FFFFFF"/>
          </w:tcPr>
          <w:p w14:paraId="47613F21"/>
        </w:tc>
        <w:tc>
          <w:tcPr>
            <w:tcW w:w="734" w:type="dxa"/>
            <w:shd w:val="clear" w:color="auto" w:fill="FFFFFF"/>
          </w:tcPr>
          <w:p w14:paraId="0A096BDB"/>
        </w:tc>
        <w:tc>
          <w:tcPr>
            <w:tcW w:w="1380" w:type="dxa"/>
            <w:shd w:val="clear" w:color="auto" w:fill="FFFFFF"/>
          </w:tcPr>
          <w:p w14:paraId="4917FDAE"/>
        </w:tc>
      </w:tr>
      <w:tr w14:paraId="40FA2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51" w:type="dxa"/>
            <w:shd w:val="clear" w:color="auto" w:fill="FFFFFF"/>
          </w:tcPr>
          <w:p w14:paraId="50963896">
            <w:r>
              <w:t>3</w:t>
            </w:r>
          </w:p>
        </w:tc>
        <w:tc>
          <w:tcPr>
            <w:tcW w:w="1579" w:type="dxa"/>
            <w:shd w:val="clear" w:color="auto" w:fill="FFFFFF"/>
          </w:tcPr>
          <w:p w14:paraId="3C4B96F6"/>
        </w:tc>
        <w:tc>
          <w:tcPr>
            <w:tcW w:w="3067" w:type="dxa"/>
            <w:shd w:val="clear" w:color="auto" w:fill="FFFFFF"/>
          </w:tcPr>
          <w:p w14:paraId="51827474">
            <w:r>
              <w:t>自带一体化隐藏式提手，便于手术室移动设备使用。</w:t>
            </w:r>
          </w:p>
        </w:tc>
        <w:tc>
          <w:tcPr>
            <w:tcW w:w="718" w:type="dxa"/>
            <w:shd w:val="clear" w:color="auto" w:fill="FFFFFF"/>
          </w:tcPr>
          <w:p w14:paraId="6787DAA1"/>
        </w:tc>
        <w:tc>
          <w:tcPr>
            <w:tcW w:w="589" w:type="dxa"/>
            <w:shd w:val="clear" w:color="auto" w:fill="FFFFFF"/>
          </w:tcPr>
          <w:p w14:paraId="68C11A4F"/>
        </w:tc>
        <w:tc>
          <w:tcPr>
            <w:tcW w:w="734" w:type="dxa"/>
            <w:shd w:val="clear" w:color="auto" w:fill="FFFFFF"/>
          </w:tcPr>
          <w:p w14:paraId="54641463"/>
        </w:tc>
        <w:tc>
          <w:tcPr>
            <w:tcW w:w="1380" w:type="dxa"/>
            <w:shd w:val="clear" w:color="auto" w:fill="FFFFFF"/>
          </w:tcPr>
          <w:p w14:paraId="0C4602D6"/>
        </w:tc>
      </w:tr>
      <w:tr w14:paraId="03583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0669B39">
            <w:r>
              <w:t>4</w:t>
            </w:r>
          </w:p>
        </w:tc>
        <w:tc>
          <w:tcPr>
            <w:tcW w:w="1579" w:type="dxa"/>
            <w:shd w:val="clear" w:color="auto" w:fill="FFFFFF"/>
          </w:tcPr>
          <w:p w14:paraId="51CDC922">
            <w:r>
              <w:t>射频输出参数</w:t>
            </w:r>
          </w:p>
        </w:tc>
        <w:tc>
          <w:tcPr>
            <w:tcW w:w="3067" w:type="dxa"/>
            <w:shd w:val="clear" w:color="auto" w:fill="FFFFFF"/>
          </w:tcPr>
          <w:p w14:paraId="7F1A613E">
            <w:r>
              <w:t>热凝器额定输出功率：小于50W。</w:t>
            </w:r>
          </w:p>
        </w:tc>
        <w:tc>
          <w:tcPr>
            <w:tcW w:w="718" w:type="dxa"/>
            <w:shd w:val="clear" w:color="auto" w:fill="FFFFFF"/>
          </w:tcPr>
          <w:p w14:paraId="56035842">
            <w:r>
              <w:t>★</w:t>
            </w:r>
          </w:p>
        </w:tc>
        <w:tc>
          <w:tcPr>
            <w:tcW w:w="589" w:type="dxa"/>
            <w:shd w:val="clear" w:color="auto" w:fill="FFFFFF"/>
          </w:tcPr>
          <w:p w14:paraId="4F1D9B66"/>
        </w:tc>
        <w:tc>
          <w:tcPr>
            <w:tcW w:w="734" w:type="dxa"/>
            <w:shd w:val="clear" w:color="auto" w:fill="FFFFFF"/>
          </w:tcPr>
          <w:p w14:paraId="0063BDC6"/>
        </w:tc>
        <w:tc>
          <w:tcPr>
            <w:tcW w:w="1380" w:type="dxa"/>
            <w:shd w:val="clear" w:color="auto" w:fill="FFFFFF"/>
          </w:tcPr>
          <w:p w14:paraId="09046E90"/>
        </w:tc>
      </w:tr>
      <w:tr w14:paraId="7F75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1354C9B">
            <w:r>
              <w:t>5</w:t>
            </w:r>
          </w:p>
        </w:tc>
        <w:tc>
          <w:tcPr>
            <w:tcW w:w="1579" w:type="dxa"/>
            <w:shd w:val="clear" w:color="auto" w:fill="FFFFFF"/>
          </w:tcPr>
          <w:p w14:paraId="1CEFC675"/>
        </w:tc>
        <w:tc>
          <w:tcPr>
            <w:tcW w:w="3067" w:type="dxa"/>
            <w:shd w:val="clear" w:color="auto" w:fill="FFFFFF"/>
          </w:tcPr>
          <w:p w14:paraId="531309FC">
            <w:r>
              <w:t>射频输出频率：460kHz。</w:t>
            </w:r>
          </w:p>
        </w:tc>
        <w:tc>
          <w:tcPr>
            <w:tcW w:w="718" w:type="dxa"/>
            <w:shd w:val="clear" w:color="auto" w:fill="FFFFFF"/>
          </w:tcPr>
          <w:p w14:paraId="60CE362D">
            <w:r>
              <w:t>★</w:t>
            </w:r>
          </w:p>
        </w:tc>
        <w:tc>
          <w:tcPr>
            <w:tcW w:w="589" w:type="dxa"/>
            <w:shd w:val="clear" w:color="auto" w:fill="FFFFFF"/>
          </w:tcPr>
          <w:p w14:paraId="73531491"/>
        </w:tc>
        <w:tc>
          <w:tcPr>
            <w:tcW w:w="734" w:type="dxa"/>
            <w:shd w:val="clear" w:color="auto" w:fill="FFFFFF"/>
          </w:tcPr>
          <w:p w14:paraId="3BFA001C"/>
        </w:tc>
        <w:tc>
          <w:tcPr>
            <w:tcW w:w="1380" w:type="dxa"/>
            <w:shd w:val="clear" w:color="auto" w:fill="FFFFFF"/>
          </w:tcPr>
          <w:p w14:paraId="5414B675"/>
        </w:tc>
      </w:tr>
      <w:tr w14:paraId="6D75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4885433">
            <w:r>
              <w:t>6</w:t>
            </w:r>
          </w:p>
        </w:tc>
        <w:tc>
          <w:tcPr>
            <w:tcW w:w="1579" w:type="dxa"/>
            <w:shd w:val="clear" w:color="auto" w:fill="FFFFFF"/>
          </w:tcPr>
          <w:p w14:paraId="6CEAD1A4"/>
        </w:tc>
        <w:tc>
          <w:tcPr>
            <w:tcW w:w="3067" w:type="dxa"/>
            <w:shd w:val="clear" w:color="auto" w:fill="FFFFFF"/>
          </w:tcPr>
          <w:p w14:paraId="20E0C19E">
            <w:r>
              <w:t>射频热凝输出方式：智能连续输出，自动提供合适功率输出，提供一键式治疗模式，临床操作简单方便。</w:t>
            </w:r>
          </w:p>
        </w:tc>
        <w:tc>
          <w:tcPr>
            <w:tcW w:w="718" w:type="dxa"/>
            <w:shd w:val="clear" w:color="auto" w:fill="FFFFFF"/>
          </w:tcPr>
          <w:p w14:paraId="1FA76FF1"/>
        </w:tc>
        <w:tc>
          <w:tcPr>
            <w:tcW w:w="589" w:type="dxa"/>
            <w:shd w:val="clear" w:color="auto" w:fill="FFFFFF"/>
          </w:tcPr>
          <w:p w14:paraId="39212293"/>
        </w:tc>
        <w:tc>
          <w:tcPr>
            <w:tcW w:w="734" w:type="dxa"/>
            <w:shd w:val="clear" w:color="auto" w:fill="FFFFFF"/>
          </w:tcPr>
          <w:p w14:paraId="7433CA2A"/>
        </w:tc>
        <w:tc>
          <w:tcPr>
            <w:tcW w:w="1380" w:type="dxa"/>
            <w:shd w:val="clear" w:color="auto" w:fill="FFFFFF"/>
          </w:tcPr>
          <w:p w14:paraId="21C38602"/>
        </w:tc>
      </w:tr>
      <w:tr w14:paraId="18557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1E0FB3C5">
            <w:r>
              <w:t>7</w:t>
            </w:r>
          </w:p>
        </w:tc>
        <w:tc>
          <w:tcPr>
            <w:tcW w:w="1579" w:type="dxa"/>
            <w:shd w:val="clear" w:color="auto" w:fill="FFFFFF"/>
          </w:tcPr>
          <w:p w14:paraId="1A5B34D2"/>
        </w:tc>
        <w:tc>
          <w:tcPr>
            <w:tcW w:w="3067" w:type="dxa"/>
            <w:shd w:val="clear" w:color="auto" w:fill="FFFFFF"/>
          </w:tcPr>
          <w:p w14:paraId="2040A9D7">
            <w:r>
              <w:t>射频热凝输出方式：智能脉冲输出，内设多种治疗模式，一键式操作，便于临床操作。</w:t>
            </w:r>
          </w:p>
        </w:tc>
        <w:tc>
          <w:tcPr>
            <w:tcW w:w="718" w:type="dxa"/>
            <w:shd w:val="clear" w:color="auto" w:fill="FFFFFF"/>
          </w:tcPr>
          <w:p w14:paraId="74E7B840"/>
        </w:tc>
        <w:tc>
          <w:tcPr>
            <w:tcW w:w="589" w:type="dxa"/>
            <w:shd w:val="clear" w:color="auto" w:fill="FFFFFF"/>
          </w:tcPr>
          <w:p w14:paraId="113233D0"/>
        </w:tc>
        <w:tc>
          <w:tcPr>
            <w:tcW w:w="734" w:type="dxa"/>
            <w:shd w:val="clear" w:color="auto" w:fill="FFFFFF"/>
          </w:tcPr>
          <w:p w14:paraId="5F828BEE"/>
        </w:tc>
        <w:tc>
          <w:tcPr>
            <w:tcW w:w="1380" w:type="dxa"/>
            <w:shd w:val="clear" w:color="auto" w:fill="FFFFFF"/>
          </w:tcPr>
          <w:p w14:paraId="1A1B8AFF"/>
        </w:tc>
      </w:tr>
      <w:tr w14:paraId="7A0B3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4C8E1B0">
            <w:r>
              <w:t>8</w:t>
            </w:r>
          </w:p>
        </w:tc>
        <w:tc>
          <w:tcPr>
            <w:tcW w:w="1579" w:type="dxa"/>
            <w:shd w:val="clear" w:color="auto" w:fill="FFFFFF"/>
          </w:tcPr>
          <w:p w14:paraId="75E51EFE"/>
        </w:tc>
        <w:tc>
          <w:tcPr>
            <w:tcW w:w="3067" w:type="dxa"/>
            <w:shd w:val="clear" w:color="auto" w:fill="FFFFFF"/>
          </w:tcPr>
          <w:p w14:paraId="3205CF1A">
            <w:r>
              <w:t>具有自动切换单极、双极多种治疗模式，多极模式下分别显示多个电极功能及参数，并分别控制每个电极的参数保证治疗的安全。</w:t>
            </w:r>
          </w:p>
        </w:tc>
        <w:tc>
          <w:tcPr>
            <w:tcW w:w="718" w:type="dxa"/>
            <w:shd w:val="clear" w:color="auto" w:fill="FFFFFF"/>
          </w:tcPr>
          <w:p w14:paraId="231690B8">
            <w:r>
              <w:t>★</w:t>
            </w:r>
          </w:p>
        </w:tc>
        <w:tc>
          <w:tcPr>
            <w:tcW w:w="589" w:type="dxa"/>
            <w:shd w:val="clear" w:color="auto" w:fill="FFFFFF"/>
          </w:tcPr>
          <w:p w14:paraId="2439A5C6"/>
        </w:tc>
        <w:tc>
          <w:tcPr>
            <w:tcW w:w="734" w:type="dxa"/>
            <w:shd w:val="clear" w:color="auto" w:fill="FFFFFF"/>
          </w:tcPr>
          <w:p w14:paraId="385303F2"/>
        </w:tc>
        <w:tc>
          <w:tcPr>
            <w:tcW w:w="1380" w:type="dxa"/>
            <w:shd w:val="clear" w:color="auto" w:fill="FFFFFF"/>
          </w:tcPr>
          <w:p w14:paraId="1564999A"/>
        </w:tc>
      </w:tr>
      <w:tr w14:paraId="182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51" w:type="dxa"/>
            <w:shd w:val="clear" w:color="auto" w:fill="FFFFFF"/>
          </w:tcPr>
          <w:p w14:paraId="56E9EBF9">
            <w:r>
              <w:t>9</w:t>
            </w:r>
          </w:p>
        </w:tc>
        <w:tc>
          <w:tcPr>
            <w:tcW w:w="1579" w:type="dxa"/>
            <w:shd w:val="clear" w:color="auto" w:fill="FFFFFF"/>
          </w:tcPr>
          <w:p w14:paraId="41D55849"/>
        </w:tc>
        <w:tc>
          <w:tcPr>
            <w:tcW w:w="3067" w:type="dxa"/>
            <w:shd w:val="clear" w:color="auto" w:fill="FFFFFF"/>
          </w:tcPr>
          <w:p w14:paraId="3318BEC9">
            <w:r>
              <w:t>自动连续输出，一键式选择治疗模式。</w:t>
            </w:r>
          </w:p>
        </w:tc>
        <w:tc>
          <w:tcPr>
            <w:tcW w:w="718" w:type="dxa"/>
            <w:shd w:val="clear" w:color="auto" w:fill="FFFFFF"/>
          </w:tcPr>
          <w:p w14:paraId="75141297"/>
        </w:tc>
        <w:tc>
          <w:tcPr>
            <w:tcW w:w="589" w:type="dxa"/>
            <w:shd w:val="clear" w:color="auto" w:fill="FFFFFF"/>
          </w:tcPr>
          <w:p w14:paraId="7201645D"/>
        </w:tc>
        <w:tc>
          <w:tcPr>
            <w:tcW w:w="734" w:type="dxa"/>
            <w:shd w:val="clear" w:color="auto" w:fill="FFFFFF"/>
          </w:tcPr>
          <w:p w14:paraId="720DD8BE"/>
        </w:tc>
        <w:tc>
          <w:tcPr>
            <w:tcW w:w="1380" w:type="dxa"/>
            <w:shd w:val="clear" w:color="auto" w:fill="FFFFFF"/>
          </w:tcPr>
          <w:p w14:paraId="32B7EB24"/>
        </w:tc>
      </w:tr>
      <w:tr w14:paraId="52E24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088066C">
            <w:r>
              <w:t>10</w:t>
            </w:r>
          </w:p>
        </w:tc>
        <w:tc>
          <w:tcPr>
            <w:tcW w:w="1579" w:type="dxa"/>
            <w:shd w:val="clear" w:color="auto" w:fill="FFFFFF"/>
          </w:tcPr>
          <w:p w14:paraId="6C04417D"/>
        </w:tc>
        <w:tc>
          <w:tcPr>
            <w:tcW w:w="3067" w:type="dxa"/>
            <w:shd w:val="clear" w:color="auto" w:fill="FFFFFF"/>
          </w:tcPr>
          <w:p w14:paraId="7A1FE05A">
            <w:r>
              <w:t>自动脉冲输出，一键式切换治疗模式。</w:t>
            </w:r>
          </w:p>
        </w:tc>
        <w:tc>
          <w:tcPr>
            <w:tcW w:w="718" w:type="dxa"/>
            <w:shd w:val="clear" w:color="auto" w:fill="FFFFFF"/>
          </w:tcPr>
          <w:p w14:paraId="10B5CD6F"/>
        </w:tc>
        <w:tc>
          <w:tcPr>
            <w:tcW w:w="589" w:type="dxa"/>
            <w:shd w:val="clear" w:color="auto" w:fill="FFFFFF"/>
          </w:tcPr>
          <w:p w14:paraId="4606BCAE"/>
        </w:tc>
        <w:tc>
          <w:tcPr>
            <w:tcW w:w="734" w:type="dxa"/>
            <w:shd w:val="clear" w:color="auto" w:fill="FFFFFF"/>
          </w:tcPr>
          <w:p w14:paraId="30014723"/>
        </w:tc>
        <w:tc>
          <w:tcPr>
            <w:tcW w:w="1380" w:type="dxa"/>
            <w:shd w:val="clear" w:color="auto" w:fill="FFFFFF"/>
          </w:tcPr>
          <w:p w14:paraId="113ED728"/>
        </w:tc>
      </w:tr>
      <w:tr w14:paraId="6CD02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CA25F7E">
            <w:r>
              <w:t>11</w:t>
            </w:r>
          </w:p>
        </w:tc>
        <w:tc>
          <w:tcPr>
            <w:tcW w:w="1579" w:type="dxa"/>
            <w:shd w:val="clear" w:color="auto" w:fill="FFFFFF"/>
          </w:tcPr>
          <w:p w14:paraId="48F7A587"/>
        </w:tc>
        <w:tc>
          <w:tcPr>
            <w:tcW w:w="3067" w:type="dxa"/>
            <w:shd w:val="clear" w:color="auto" w:fill="FFFFFF"/>
          </w:tcPr>
          <w:p w14:paraId="4B9170FC">
            <w:r>
              <w:t>脉冲射频时间范围：0-30分钟。</w:t>
            </w:r>
          </w:p>
        </w:tc>
        <w:tc>
          <w:tcPr>
            <w:tcW w:w="718" w:type="dxa"/>
            <w:shd w:val="clear" w:color="auto" w:fill="FFFFFF"/>
          </w:tcPr>
          <w:p w14:paraId="5ADE6EA2"/>
        </w:tc>
        <w:tc>
          <w:tcPr>
            <w:tcW w:w="589" w:type="dxa"/>
            <w:shd w:val="clear" w:color="auto" w:fill="FFFFFF"/>
          </w:tcPr>
          <w:p w14:paraId="299045AE"/>
        </w:tc>
        <w:tc>
          <w:tcPr>
            <w:tcW w:w="734" w:type="dxa"/>
            <w:shd w:val="clear" w:color="auto" w:fill="FFFFFF"/>
          </w:tcPr>
          <w:p w14:paraId="461E4D76"/>
        </w:tc>
        <w:tc>
          <w:tcPr>
            <w:tcW w:w="1380" w:type="dxa"/>
            <w:shd w:val="clear" w:color="auto" w:fill="FFFFFF"/>
          </w:tcPr>
          <w:p w14:paraId="6325E890"/>
        </w:tc>
      </w:tr>
      <w:tr w14:paraId="6AE3C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E72CBA6">
            <w:r>
              <w:t>12</w:t>
            </w:r>
          </w:p>
        </w:tc>
        <w:tc>
          <w:tcPr>
            <w:tcW w:w="1579" w:type="dxa"/>
            <w:shd w:val="clear" w:color="auto" w:fill="FFFFFF"/>
          </w:tcPr>
          <w:p w14:paraId="63C872CE">
            <w:r>
              <w:t>温度控制参数</w:t>
            </w:r>
          </w:p>
        </w:tc>
        <w:tc>
          <w:tcPr>
            <w:tcW w:w="3067" w:type="dxa"/>
            <w:shd w:val="clear" w:color="auto" w:fill="FFFFFF"/>
          </w:tcPr>
          <w:p w14:paraId="28BA7A3C">
            <w:r>
              <w:t>热凝器恒温热凝时间范围为10s-600s，步长为1s。</w:t>
            </w:r>
          </w:p>
        </w:tc>
        <w:tc>
          <w:tcPr>
            <w:tcW w:w="718" w:type="dxa"/>
            <w:shd w:val="clear" w:color="auto" w:fill="FFFFFF"/>
          </w:tcPr>
          <w:p w14:paraId="078B08B6"/>
        </w:tc>
        <w:tc>
          <w:tcPr>
            <w:tcW w:w="589" w:type="dxa"/>
            <w:shd w:val="clear" w:color="auto" w:fill="FFFFFF"/>
          </w:tcPr>
          <w:p w14:paraId="39D7389D"/>
        </w:tc>
        <w:tc>
          <w:tcPr>
            <w:tcW w:w="734" w:type="dxa"/>
            <w:shd w:val="clear" w:color="auto" w:fill="FFFFFF"/>
          </w:tcPr>
          <w:p w14:paraId="209EE1BC"/>
        </w:tc>
        <w:tc>
          <w:tcPr>
            <w:tcW w:w="1380" w:type="dxa"/>
            <w:shd w:val="clear" w:color="auto" w:fill="FFFFFF"/>
          </w:tcPr>
          <w:p w14:paraId="51D472F0"/>
        </w:tc>
      </w:tr>
      <w:tr w14:paraId="0A87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51" w:type="dxa"/>
            <w:shd w:val="clear" w:color="auto" w:fill="FFFFFF"/>
          </w:tcPr>
          <w:p w14:paraId="45B1177F">
            <w:r>
              <w:t>13</w:t>
            </w:r>
          </w:p>
        </w:tc>
        <w:tc>
          <w:tcPr>
            <w:tcW w:w="1579" w:type="dxa"/>
            <w:shd w:val="clear" w:color="auto" w:fill="FFFFFF"/>
          </w:tcPr>
          <w:p w14:paraId="741F1325"/>
        </w:tc>
        <w:tc>
          <w:tcPr>
            <w:tcW w:w="3067" w:type="dxa"/>
            <w:shd w:val="clear" w:color="auto" w:fill="FFFFFF"/>
          </w:tcPr>
          <w:p w14:paraId="59B71734">
            <w:r>
              <w:t>具有有效消融时间的倒计时功能，帮助临床更精确地判断射频消融过程。</w:t>
            </w:r>
          </w:p>
        </w:tc>
        <w:tc>
          <w:tcPr>
            <w:tcW w:w="718" w:type="dxa"/>
            <w:shd w:val="clear" w:color="auto" w:fill="FFFFFF"/>
          </w:tcPr>
          <w:p w14:paraId="69F440B5"/>
        </w:tc>
        <w:tc>
          <w:tcPr>
            <w:tcW w:w="589" w:type="dxa"/>
            <w:shd w:val="clear" w:color="auto" w:fill="FFFFFF"/>
          </w:tcPr>
          <w:p w14:paraId="633F6035"/>
        </w:tc>
        <w:tc>
          <w:tcPr>
            <w:tcW w:w="734" w:type="dxa"/>
            <w:shd w:val="clear" w:color="auto" w:fill="FFFFFF"/>
          </w:tcPr>
          <w:p w14:paraId="037016DA"/>
        </w:tc>
        <w:tc>
          <w:tcPr>
            <w:tcW w:w="1380" w:type="dxa"/>
            <w:shd w:val="clear" w:color="auto" w:fill="FFFFFF"/>
          </w:tcPr>
          <w:p w14:paraId="49189D77"/>
        </w:tc>
      </w:tr>
      <w:tr w14:paraId="7855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73526DE">
            <w:r>
              <w:t>14</w:t>
            </w:r>
          </w:p>
        </w:tc>
        <w:tc>
          <w:tcPr>
            <w:tcW w:w="1579" w:type="dxa"/>
            <w:shd w:val="clear" w:color="auto" w:fill="FFFFFF"/>
          </w:tcPr>
          <w:p w14:paraId="4ACA7F91"/>
        </w:tc>
        <w:tc>
          <w:tcPr>
            <w:tcW w:w="3067" w:type="dxa"/>
            <w:shd w:val="clear" w:color="auto" w:fill="FFFFFF"/>
          </w:tcPr>
          <w:p w14:paraId="265D895C">
            <w:r>
              <w:t>热凝器温度测温范围：20℃-100℃。</w:t>
            </w:r>
          </w:p>
        </w:tc>
        <w:tc>
          <w:tcPr>
            <w:tcW w:w="718" w:type="dxa"/>
            <w:shd w:val="clear" w:color="auto" w:fill="FFFFFF"/>
          </w:tcPr>
          <w:p w14:paraId="2B3A1E72"/>
        </w:tc>
        <w:tc>
          <w:tcPr>
            <w:tcW w:w="589" w:type="dxa"/>
            <w:shd w:val="clear" w:color="auto" w:fill="FFFFFF"/>
          </w:tcPr>
          <w:p w14:paraId="420E8462"/>
        </w:tc>
        <w:tc>
          <w:tcPr>
            <w:tcW w:w="734" w:type="dxa"/>
            <w:shd w:val="clear" w:color="auto" w:fill="FFFFFF"/>
          </w:tcPr>
          <w:p w14:paraId="576A3BC5"/>
        </w:tc>
        <w:tc>
          <w:tcPr>
            <w:tcW w:w="1380" w:type="dxa"/>
            <w:shd w:val="clear" w:color="auto" w:fill="FFFFFF"/>
          </w:tcPr>
          <w:p w14:paraId="2DE64A8B"/>
        </w:tc>
      </w:tr>
      <w:tr w14:paraId="5FEB1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PrEx>
        <w:trPr>
          <w:tblCellSpacing w:w="0" w:type="dxa"/>
        </w:trPr>
        <w:tc>
          <w:tcPr>
            <w:tcW w:w="651" w:type="dxa"/>
            <w:shd w:val="clear" w:color="auto" w:fill="FFFFFF"/>
          </w:tcPr>
          <w:p w14:paraId="27BC53B8">
            <w:r>
              <w:t>15</w:t>
            </w:r>
          </w:p>
        </w:tc>
        <w:tc>
          <w:tcPr>
            <w:tcW w:w="1579" w:type="dxa"/>
            <w:shd w:val="clear" w:color="auto" w:fill="FFFFFF"/>
          </w:tcPr>
          <w:p w14:paraId="2EFE46DF"/>
        </w:tc>
        <w:tc>
          <w:tcPr>
            <w:tcW w:w="3067" w:type="dxa"/>
            <w:shd w:val="clear" w:color="auto" w:fill="FFFFFF"/>
          </w:tcPr>
          <w:p w14:paraId="05B7BD41">
            <w:r>
              <w:t>连续射频输出时恒温热凝温度设定范围为35℃-95℃，步长为0.1℃。</w:t>
            </w:r>
          </w:p>
        </w:tc>
        <w:tc>
          <w:tcPr>
            <w:tcW w:w="718" w:type="dxa"/>
            <w:shd w:val="clear" w:color="auto" w:fill="FFFFFF"/>
          </w:tcPr>
          <w:p w14:paraId="4E152B94"/>
        </w:tc>
        <w:tc>
          <w:tcPr>
            <w:tcW w:w="589" w:type="dxa"/>
            <w:shd w:val="clear" w:color="auto" w:fill="FFFFFF"/>
          </w:tcPr>
          <w:p w14:paraId="29B4F918"/>
        </w:tc>
        <w:tc>
          <w:tcPr>
            <w:tcW w:w="734" w:type="dxa"/>
            <w:shd w:val="clear" w:color="auto" w:fill="FFFFFF"/>
          </w:tcPr>
          <w:p w14:paraId="178495D8"/>
        </w:tc>
        <w:tc>
          <w:tcPr>
            <w:tcW w:w="1380" w:type="dxa"/>
            <w:shd w:val="clear" w:color="auto" w:fill="FFFFFF"/>
          </w:tcPr>
          <w:p w14:paraId="1A08BCE0"/>
        </w:tc>
      </w:tr>
      <w:tr w14:paraId="092C7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A7663E4">
            <w:r>
              <w:t>16</w:t>
            </w:r>
          </w:p>
        </w:tc>
        <w:tc>
          <w:tcPr>
            <w:tcW w:w="1579" w:type="dxa"/>
            <w:shd w:val="clear" w:color="auto" w:fill="FFFFFF"/>
          </w:tcPr>
          <w:p w14:paraId="43AA8F7E"/>
        </w:tc>
        <w:tc>
          <w:tcPr>
            <w:tcW w:w="3067" w:type="dxa"/>
            <w:shd w:val="clear" w:color="auto" w:fill="FFFFFF"/>
          </w:tcPr>
          <w:p w14:paraId="45F95512">
            <w:r>
              <w:t>脉冲射频输出时恒温热凝温度设定范围为35℃-95℃，步长为0.1℃；电压可调（0-100V），脉宽可调。</w:t>
            </w:r>
          </w:p>
        </w:tc>
        <w:tc>
          <w:tcPr>
            <w:tcW w:w="718" w:type="dxa"/>
            <w:shd w:val="clear" w:color="auto" w:fill="FFFFFF"/>
          </w:tcPr>
          <w:p w14:paraId="08C7811B"/>
        </w:tc>
        <w:tc>
          <w:tcPr>
            <w:tcW w:w="589" w:type="dxa"/>
            <w:shd w:val="clear" w:color="auto" w:fill="FFFFFF"/>
          </w:tcPr>
          <w:p w14:paraId="375CC895"/>
        </w:tc>
        <w:tc>
          <w:tcPr>
            <w:tcW w:w="734" w:type="dxa"/>
            <w:shd w:val="clear" w:color="auto" w:fill="FFFFFF"/>
          </w:tcPr>
          <w:p w14:paraId="28BB2FFC"/>
        </w:tc>
        <w:tc>
          <w:tcPr>
            <w:tcW w:w="1380" w:type="dxa"/>
            <w:shd w:val="clear" w:color="auto" w:fill="FFFFFF"/>
          </w:tcPr>
          <w:p w14:paraId="4745D805"/>
        </w:tc>
      </w:tr>
      <w:tr w14:paraId="2F8E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1293EA6">
            <w:r>
              <w:t>17</w:t>
            </w:r>
          </w:p>
        </w:tc>
        <w:tc>
          <w:tcPr>
            <w:tcW w:w="1579" w:type="dxa"/>
            <w:shd w:val="clear" w:color="auto" w:fill="FFFFFF"/>
          </w:tcPr>
          <w:p w14:paraId="71F4405C">
            <w:r>
              <w:t>电刺激与定位参数</w:t>
            </w:r>
          </w:p>
        </w:tc>
        <w:tc>
          <w:tcPr>
            <w:tcW w:w="3067" w:type="dxa"/>
            <w:shd w:val="clear" w:color="auto" w:fill="FFFFFF"/>
          </w:tcPr>
          <w:p w14:paraId="0C2A8247">
            <w:r>
              <w:t>可与同一品牌手术导航以及立体定向系统配套使用，便于日后临床升级使用需求。</w:t>
            </w:r>
          </w:p>
        </w:tc>
        <w:tc>
          <w:tcPr>
            <w:tcW w:w="718" w:type="dxa"/>
            <w:shd w:val="clear" w:color="auto" w:fill="FFFFFF"/>
          </w:tcPr>
          <w:p w14:paraId="0259C349">
            <w:r>
              <w:t>★</w:t>
            </w:r>
          </w:p>
        </w:tc>
        <w:tc>
          <w:tcPr>
            <w:tcW w:w="589" w:type="dxa"/>
            <w:shd w:val="clear" w:color="auto" w:fill="FFFFFF"/>
          </w:tcPr>
          <w:p w14:paraId="0139B8CA"/>
        </w:tc>
        <w:tc>
          <w:tcPr>
            <w:tcW w:w="734" w:type="dxa"/>
            <w:shd w:val="clear" w:color="auto" w:fill="FFFFFF"/>
          </w:tcPr>
          <w:p w14:paraId="23D22746"/>
        </w:tc>
        <w:tc>
          <w:tcPr>
            <w:tcW w:w="1380" w:type="dxa"/>
            <w:shd w:val="clear" w:color="auto" w:fill="FFFFFF"/>
          </w:tcPr>
          <w:p w14:paraId="7844DF6A"/>
        </w:tc>
      </w:tr>
      <w:tr w14:paraId="6C61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6988E56F">
            <w:r>
              <w:t>18</w:t>
            </w:r>
          </w:p>
        </w:tc>
        <w:tc>
          <w:tcPr>
            <w:tcW w:w="1579" w:type="dxa"/>
            <w:shd w:val="clear" w:color="auto" w:fill="FFFFFF"/>
          </w:tcPr>
          <w:p w14:paraId="2CEB0A2E"/>
        </w:tc>
        <w:tc>
          <w:tcPr>
            <w:tcW w:w="3067" w:type="dxa"/>
            <w:shd w:val="clear" w:color="auto" w:fill="FFFFFF"/>
          </w:tcPr>
          <w:p w14:paraId="0EF15ECA">
            <w:r>
              <w:t>电压刺激定位：刺激电压的脉冲频率分为单次脉冲（Single Pulse）和多次脉冲1Hz～200Hz内，自定义多档可调节。</w:t>
            </w:r>
          </w:p>
        </w:tc>
        <w:tc>
          <w:tcPr>
            <w:tcW w:w="718" w:type="dxa"/>
            <w:shd w:val="clear" w:color="auto" w:fill="FFFFFF"/>
          </w:tcPr>
          <w:p w14:paraId="0F93BB0E"/>
        </w:tc>
        <w:tc>
          <w:tcPr>
            <w:tcW w:w="589" w:type="dxa"/>
            <w:shd w:val="clear" w:color="auto" w:fill="FFFFFF"/>
          </w:tcPr>
          <w:p w14:paraId="750E8F70"/>
        </w:tc>
        <w:tc>
          <w:tcPr>
            <w:tcW w:w="734" w:type="dxa"/>
            <w:shd w:val="clear" w:color="auto" w:fill="FFFFFF"/>
          </w:tcPr>
          <w:p w14:paraId="416F7AA5"/>
        </w:tc>
        <w:tc>
          <w:tcPr>
            <w:tcW w:w="1380" w:type="dxa"/>
            <w:shd w:val="clear" w:color="auto" w:fill="FFFFFF"/>
          </w:tcPr>
          <w:p w14:paraId="72A395DC"/>
        </w:tc>
      </w:tr>
      <w:tr w14:paraId="72F1B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1A891847">
            <w:r>
              <w:t>19</w:t>
            </w:r>
          </w:p>
        </w:tc>
        <w:tc>
          <w:tcPr>
            <w:tcW w:w="1579" w:type="dxa"/>
            <w:shd w:val="clear" w:color="auto" w:fill="FFFFFF"/>
          </w:tcPr>
          <w:p w14:paraId="3CE1141B"/>
        </w:tc>
        <w:tc>
          <w:tcPr>
            <w:tcW w:w="3067" w:type="dxa"/>
            <w:shd w:val="clear" w:color="auto" w:fill="FFFFFF"/>
          </w:tcPr>
          <w:p w14:paraId="51AFAE09">
            <w:r>
              <w:t>电压刺激定位：刺激电压的脉冲宽度分为0.1ms～3.0ms，自定义多档可调。</w:t>
            </w:r>
          </w:p>
        </w:tc>
        <w:tc>
          <w:tcPr>
            <w:tcW w:w="718" w:type="dxa"/>
            <w:shd w:val="clear" w:color="auto" w:fill="FFFFFF"/>
          </w:tcPr>
          <w:p w14:paraId="19D965A7"/>
        </w:tc>
        <w:tc>
          <w:tcPr>
            <w:tcW w:w="589" w:type="dxa"/>
            <w:shd w:val="clear" w:color="auto" w:fill="FFFFFF"/>
          </w:tcPr>
          <w:p w14:paraId="78A4DA2A"/>
        </w:tc>
        <w:tc>
          <w:tcPr>
            <w:tcW w:w="734" w:type="dxa"/>
            <w:shd w:val="clear" w:color="auto" w:fill="FFFFFF"/>
          </w:tcPr>
          <w:p w14:paraId="570A4756"/>
        </w:tc>
        <w:tc>
          <w:tcPr>
            <w:tcW w:w="1380" w:type="dxa"/>
            <w:shd w:val="clear" w:color="auto" w:fill="FFFFFF"/>
          </w:tcPr>
          <w:p w14:paraId="56A3CC72"/>
        </w:tc>
      </w:tr>
      <w:tr w14:paraId="7BBA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7116C620">
            <w:r>
              <w:t>20</w:t>
            </w:r>
          </w:p>
        </w:tc>
        <w:tc>
          <w:tcPr>
            <w:tcW w:w="1579" w:type="dxa"/>
            <w:shd w:val="clear" w:color="auto" w:fill="FFFFFF"/>
          </w:tcPr>
          <w:p w14:paraId="549D9FC9"/>
        </w:tc>
        <w:tc>
          <w:tcPr>
            <w:tcW w:w="3067" w:type="dxa"/>
            <w:shd w:val="clear" w:color="auto" w:fill="FFFFFF"/>
          </w:tcPr>
          <w:p w14:paraId="7509ACEA">
            <w:r>
              <w:t>电压刺激定位：刺激电压的脉冲幅度为0V～10V，步长为0.1V。</w:t>
            </w:r>
          </w:p>
        </w:tc>
        <w:tc>
          <w:tcPr>
            <w:tcW w:w="718" w:type="dxa"/>
            <w:shd w:val="clear" w:color="auto" w:fill="FFFFFF"/>
          </w:tcPr>
          <w:p w14:paraId="42C06DD2"/>
        </w:tc>
        <w:tc>
          <w:tcPr>
            <w:tcW w:w="589" w:type="dxa"/>
            <w:shd w:val="clear" w:color="auto" w:fill="FFFFFF"/>
          </w:tcPr>
          <w:p w14:paraId="62215CAF"/>
        </w:tc>
        <w:tc>
          <w:tcPr>
            <w:tcW w:w="734" w:type="dxa"/>
            <w:shd w:val="clear" w:color="auto" w:fill="FFFFFF"/>
          </w:tcPr>
          <w:p w14:paraId="11C629E1"/>
        </w:tc>
        <w:tc>
          <w:tcPr>
            <w:tcW w:w="1380" w:type="dxa"/>
            <w:shd w:val="clear" w:color="auto" w:fill="FFFFFF"/>
          </w:tcPr>
          <w:p w14:paraId="547CA091"/>
        </w:tc>
      </w:tr>
      <w:tr w14:paraId="5279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16A6F627">
            <w:r>
              <w:t>21</w:t>
            </w:r>
          </w:p>
        </w:tc>
        <w:tc>
          <w:tcPr>
            <w:tcW w:w="1579" w:type="dxa"/>
            <w:shd w:val="clear" w:color="auto" w:fill="FFFFFF"/>
          </w:tcPr>
          <w:p w14:paraId="198DAD11"/>
        </w:tc>
        <w:tc>
          <w:tcPr>
            <w:tcW w:w="3067" w:type="dxa"/>
            <w:shd w:val="clear" w:color="auto" w:fill="FFFFFF"/>
          </w:tcPr>
          <w:p w14:paraId="5544EA77">
            <w:r>
              <w:t>电流刺激定位：刺激电流的脉冲频率分为单次脉冲（Single Pulse）和多次脉冲1Hz～200Hz内，自定义多档可调节。</w:t>
            </w:r>
          </w:p>
        </w:tc>
        <w:tc>
          <w:tcPr>
            <w:tcW w:w="718" w:type="dxa"/>
            <w:shd w:val="clear" w:color="auto" w:fill="FFFFFF"/>
          </w:tcPr>
          <w:p w14:paraId="224E4134"/>
        </w:tc>
        <w:tc>
          <w:tcPr>
            <w:tcW w:w="589" w:type="dxa"/>
            <w:shd w:val="clear" w:color="auto" w:fill="FFFFFF"/>
          </w:tcPr>
          <w:p w14:paraId="15550F8F"/>
        </w:tc>
        <w:tc>
          <w:tcPr>
            <w:tcW w:w="734" w:type="dxa"/>
            <w:shd w:val="clear" w:color="auto" w:fill="FFFFFF"/>
          </w:tcPr>
          <w:p w14:paraId="1FEA22B3"/>
        </w:tc>
        <w:tc>
          <w:tcPr>
            <w:tcW w:w="1380" w:type="dxa"/>
            <w:shd w:val="clear" w:color="auto" w:fill="FFFFFF"/>
          </w:tcPr>
          <w:p w14:paraId="2050EDC3"/>
        </w:tc>
      </w:tr>
      <w:tr w14:paraId="28B14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79BFD90">
            <w:r>
              <w:t>22</w:t>
            </w:r>
          </w:p>
        </w:tc>
        <w:tc>
          <w:tcPr>
            <w:tcW w:w="1579" w:type="dxa"/>
            <w:shd w:val="clear" w:color="auto" w:fill="FFFFFF"/>
          </w:tcPr>
          <w:p w14:paraId="333B0A81"/>
        </w:tc>
        <w:tc>
          <w:tcPr>
            <w:tcW w:w="3067" w:type="dxa"/>
            <w:shd w:val="clear" w:color="auto" w:fill="FFFFFF"/>
          </w:tcPr>
          <w:p w14:paraId="509BFAA9">
            <w:r>
              <w:t>电流刺激定位：刺激电流的脉冲宽度分为0.1ms～3.0ms，自定义多档可调。</w:t>
            </w:r>
          </w:p>
        </w:tc>
        <w:tc>
          <w:tcPr>
            <w:tcW w:w="718" w:type="dxa"/>
            <w:shd w:val="clear" w:color="auto" w:fill="FFFFFF"/>
          </w:tcPr>
          <w:p w14:paraId="3E057262"/>
        </w:tc>
        <w:tc>
          <w:tcPr>
            <w:tcW w:w="589" w:type="dxa"/>
            <w:shd w:val="clear" w:color="auto" w:fill="FFFFFF"/>
          </w:tcPr>
          <w:p w14:paraId="317122BE"/>
        </w:tc>
        <w:tc>
          <w:tcPr>
            <w:tcW w:w="734" w:type="dxa"/>
            <w:shd w:val="clear" w:color="auto" w:fill="FFFFFF"/>
          </w:tcPr>
          <w:p w14:paraId="1011537B"/>
        </w:tc>
        <w:tc>
          <w:tcPr>
            <w:tcW w:w="1380" w:type="dxa"/>
            <w:shd w:val="clear" w:color="auto" w:fill="FFFFFF"/>
          </w:tcPr>
          <w:p w14:paraId="62267282"/>
        </w:tc>
      </w:tr>
      <w:tr w14:paraId="3CEAC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8984B1D">
            <w:r>
              <w:t>23</w:t>
            </w:r>
          </w:p>
        </w:tc>
        <w:tc>
          <w:tcPr>
            <w:tcW w:w="1579" w:type="dxa"/>
            <w:shd w:val="clear" w:color="auto" w:fill="FFFFFF"/>
          </w:tcPr>
          <w:p w14:paraId="40EF4688"/>
        </w:tc>
        <w:tc>
          <w:tcPr>
            <w:tcW w:w="3067" w:type="dxa"/>
            <w:shd w:val="clear" w:color="auto" w:fill="FFFFFF"/>
          </w:tcPr>
          <w:p w14:paraId="4BFBCFA3">
            <w:r>
              <w:t>电流刺激定位：负载阻抗为50Ω-1000Ω时，刺激电流范围0mA-10mA，步长为0.1mA。</w:t>
            </w:r>
          </w:p>
        </w:tc>
        <w:tc>
          <w:tcPr>
            <w:tcW w:w="718" w:type="dxa"/>
            <w:shd w:val="clear" w:color="auto" w:fill="FFFFFF"/>
          </w:tcPr>
          <w:p w14:paraId="106C0364"/>
        </w:tc>
        <w:tc>
          <w:tcPr>
            <w:tcW w:w="589" w:type="dxa"/>
            <w:shd w:val="clear" w:color="auto" w:fill="FFFFFF"/>
          </w:tcPr>
          <w:p w14:paraId="7D515D94"/>
        </w:tc>
        <w:tc>
          <w:tcPr>
            <w:tcW w:w="734" w:type="dxa"/>
            <w:shd w:val="clear" w:color="auto" w:fill="FFFFFF"/>
          </w:tcPr>
          <w:p w14:paraId="008277FE"/>
        </w:tc>
        <w:tc>
          <w:tcPr>
            <w:tcW w:w="1380" w:type="dxa"/>
            <w:shd w:val="clear" w:color="auto" w:fill="FFFFFF"/>
          </w:tcPr>
          <w:p w14:paraId="0B4EFAC8"/>
        </w:tc>
      </w:tr>
      <w:tr w14:paraId="50FD2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2F5EBA68">
            <w:r>
              <w:t>24</w:t>
            </w:r>
          </w:p>
        </w:tc>
        <w:tc>
          <w:tcPr>
            <w:tcW w:w="1579" w:type="dxa"/>
            <w:shd w:val="clear" w:color="auto" w:fill="FFFFFF"/>
          </w:tcPr>
          <w:p w14:paraId="33DD83B2"/>
        </w:tc>
        <w:tc>
          <w:tcPr>
            <w:tcW w:w="3067" w:type="dxa"/>
            <w:shd w:val="clear" w:color="auto" w:fill="FFFFFF"/>
          </w:tcPr>
          <w:p w14:paraId="4B2036FB">
            <w:r>
              <w:t>电生理阻抗定位的测量范围：0Ω-3000Ω。</w:t>
            </w:r>
          </w:p>
        </w:tc>
        <w:tc>
          <w:tcPr>
            <w:tcW w:w="718" w:type="dxa"/>
            <w:shd w:val="clear" w:color="auto" w:fill="FFFFFF"/>
          </w:tcPr>
          <w:p w14:paraId="700C2961"/>
        </w:tc>
        <w:tc>
          <w:tcPr>
            <w:tcW w:w="589" w:type="dxa"/>
            <w:shd w:val="clear" w:color="auto" w:fill="FFFFFF"/>
          </w:tcPr>
          <w:p w14:paraId="71092813"/>
        </w:tc>
        <w:tc>
          <w:tcPr>
            <w:tcW w:w="734" w:type="dxa"/>
            <w:shd w:val="clear" w:color="auto" w:fill="FFFFFF"/>
          </w:tcPr>
          <w:p w14:paraId="0A09022E"/>
        </w:tc>
        <w:tc>
          <w:tcPr>
            <w:tcW w:w="1380" w:type="dxa"/>
            <w:shd w:val="clear" w:color="auto" w:fill="FFFFFF"/>
          </w:tcPr>
          <w:p w14:paraId="0AC92D0B"/>
        </w:tc>
      </w:tr>
      <w:tr w14:paraId="4161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51" w:type="dxa"/>
            <w:shd w:val="clear" w:color="auto" w:fill="FFFFFF"/>
          </w:tcPr>
          <w:p w14:paraId="52F039D7">
            <w:r>
              <w:t>25</w:t>
            </w:r>
          </w:p>
        </w:tc>
        <w:tc>
          <w:tcPr>
            <w:tcW w:w="1579" w:type="dxa"/>
            <w:shd w:val="clear" w:color="auto" w:fill="FFFFFF"/>
          </w:tcPr>
          <w:p w14:paraId="7D249EE6">
            <w:r>
              <w:t>系统与安全参数</w:t>
            </w:r>
          </w:p>
        </w:tc>
        <w:tc>
          <w:tcPr>
            <w:tcW w:w="3067" w:type="dxa"/>
            <w:shd w:val="clear" w:color="auto" w:fill="FFFFFF"/>
          </w:tcPr>
          <w:p w14:paraId="653043CF">
            <w:r>
              <w:t>系统自测试程序：自动检测主机、电极和导线的工作状态。</w:t>
            </w:r>
          </w:p>
        </w:tc>
        <w:tc>
          <w:tcPr>
            <w:tcW w:w="718" w:type="dxa"/>
            <w:shd w:val="clear" w:color="auto" w:fill="FFFFFF"/>
          </w:tcPr>
          <w:p w14:paraId="370DFB36"/>
        </w:tc>
        <w:tc>
          <w:tcPr>
            <w:tcW w:w="589" w:type="dxa"/>
            <w:shd w:val="clear" w:color="auto" w:fill="FFFFFF"/>
          </w:tcPr>
          <w:p w14:paraId="7F70C92D"/>
        </w:tc>
        <w:tc>
          <w:tcPr>
            <w:tcW w:w="734" w:type="dxa"/>
            <w:shd w:val="clear" w:color="auto" w:fill="FFFFFF"/>
          </w:tcPr>
          <w:p w14:paraId="33BD3B9C"/>
        </w:tc>
        <w:tc>
          <w:tcPr>
            <w:tcW w:w="1380" w:type="dxa"/>
            <w:shd w:val="clear" w:color="auto" w:fill="FFFFFF"/>
          </w:tcPr>
          <w:p w14:paraId="4F1FAFF6"/>
        </w:tc>
      </w:tr>
      <w:tr w14:paraId="6577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51" w:type="dxa"/>
            <w:shd w:val="clear" w:color="auto" w:fill="FFFFFF"/>
          </w:tcPr>
          <w:p w14:paraId="1017DC58">
            <w:r>
              <w:t>26</w:t>
            </w:r>
          </w:p>
        </w:tc>
        <w:tc>
          <w:tcPr>
            <w:tcW w:w="1579" w:type="dxa"/>
            <w:shd w:val="clear" w:color="auto" w:fill="FFFFFF"/>
          </w:tcPr>
          <w:p w14:paraId="0FD6F6DD"/>
        </w:tc>
        <w:tc>
          <w:tcPr>
            <w:tcW w:w="3067" w:type="dxa"/>
            <w:shd w:val="clear" w:color="auto" w:fill="FFFFFF"/>
          </w:tcPr>
          <w:p w14:paraId="53D1EA9A">
            <w:r>
              <w:t>自动报警功能：电极前端温度传感器故障、超预置温度等状态自动报警。</w:t>
            </w:r>
          </w:p>
        </w:tc>
        <w:tc>
          <w:tcPr>
            <w:tcW w:w="718" w:type="dxa"/>
            <w:shd w:val="clear" w:color="auto" w:fill="FFFFFF"/>
          </w:tcPr>
          <w:p w14:paraId="32EC514D"/>
        </w:tc>
        <w:tc>
          <w:tcPr>
            <w:tcW w:w="589" w:type="dxa"/>
            <w:shd w:val="clear" w:color="auto" w:fill="FFFFFF"/>
          </w:tcPr>
          <w:p w14:paraId="5A74F006"/>
        </w:tc>
        <w:tc>
          <w:tcPr>
            <w:tcW w:w="734" w:type="dxa"/>
            <w:shd w:val="clear" w:color="auto" w:fill="FFFFFF"/>
          </w:tcPr>
          <w:p w14:paraId="0C9579C1"/>
        </w:tc>
        <w:tc>
          <w:tcPr>
            <w:tcW w:w="1380" w:type="dxa"/>
            <w:shd w:val="clear" w:color="auto" w:fill="FFFFFF"/>
          </w:tcPr>
          <w:p w14:paraId="31127771"/>
        </w:tc>
      </w:tr>
      <w:tr w14:paraId="45A40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677B9FD">
            <w:pPr>
              <w:rPr>
                <w:rFonts w:hint="default" w:eastAsiaTheme="minorEastAsia"/>
                <w:lang w:val="en-US" w:eastAsia="zh-CN"/>
              </w:rPr>
            </w:pPr>
            <w:r>
              <w:rPr>
                <w:rFonts w:hint="eastAsia"/>
                <w:lang w:val="en-US" w:eastAsia="zh-CN"/>
              </w:rPr>
              <w:t>27</w:t>
            </w:r>
          </w:p>
        </w:tc>
        <w:tc>
          <w:tcPr>
            <w:tcW w:w="1579" w:type="dxa"/>
            <w:shd w:val="clear" w:color="auto" w:fill="FFFFFF"/>
          </w:tcPr>
          <w:p w14:paraId="147F3FCB"/>
        </w:tc>
        <w:tc>
          <w:tcPr>
            <w:tcW w:w="3067" w:type="dxa"/>
            <w:shd w:val="clear" w:color="auto" w:fill="FFFFFF"/>
          </w:tcPr>
          <w:p w14:paraId="135259A9">
            <w:r>
              <w:rPr>
                <w:lang w:val="en-US" w:eastAsia="zh-CN"/>
              </w:rPr>
              <w:t>整机质保三年，提供技术培训，提供一次性耗材配件清单及报价</w:t>
            </w:r>
          </w:p>
        </w:tc>
        <w:tc>
          <w:tcPr>
            <w:tcW w:w="718" w:type="dxa"/>
            <w:shd w:val="clear" w:color="auto" w:fill="FFFFFF"/>
          </w:tcPr>
          <w:p w14:paraId="17B5AE5B"/>
        </w:tc>
        <w:tc>
          <w:tcPr>
            <w:tcW w:w="589" w:type="dxa"/>
            <w:shd w:val="clear" w:color="auto" w:fill="FFFFFF"/>
          </w:tcPr>
          <w:p w14:paraId="68FEF804"/>
        </w:tc>
        <w:tc>
          <w:tcPr>
            <w:tcW w:w="734" w:type="dxa"/>
            <w:shd w:val="clear" w:color="auto" w:fill="FFFFFF"/>
          </w:tcPr>
          <w:p w14:paraId="5A4B7A5E"/>
        </w:tc>
        <w:tc>
          <w:tcPr>
            <w:tcW w:w="1380" w:type="dxa"/>
            <w:shd w:val="clear" w:color="auto" w:fill="FFFFFF"/>
          </w:tcPr>
          <w:p w14:paraId="078E05FC"/>
        </w:tc>
      </w:tr>
    </w:tbl>
    <w:p w14:paraId="342D5C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p w14:paraId="7003D34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第二部分：拟购项目配置清单</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6"/>
        <w:gridCol w:w="2652"/>
        <w:gridCol w:w="1004"/>
        <w:gridCol w:w="725"/>
        <w:gridCol w:w="1802"/>
        <w:gridCol w:w="1703"/>
      </w:tblGrid>
      <w:tr w14:paraId="7E94E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42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AB99E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本项目拟配置清单</w:t>
            </w:r>
          </w:p>
        </w:tc>
        <w:tc>
          <w:tcPr>
            <w:tcW w:w="7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AC845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18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36482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97B4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07E76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46D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2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7669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配置清单名称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4B6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数量</w:t>
            </w:r>
          </w:p>
        </w:tc>
        <w:tc>
          <w:tcPr>
            <w:tcW w:w="7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BAB9C2">
            <w:pPr>
              <w:rPr>
                <w:rFonts w:hint="eastAsia" w:ascii="宋体"/>
                <w:sz w:val="24"/>
                <w:szCs w:val="24"/>
              </w:rPr>
            </w:pP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DE0A8">
            <w:pPr>
              <w:rPr>
                <w:rFonts w:hint="eastAsia" w:ascii="宋体"/>
                <w:sz w:val="24"/>
                <w:szCs w:val="24"/>
              </w:rPr>
            </w:pPr>
          </w:p>
        </w:tc>
        <w:tc>
          <w:tcPr>
            <w:tcW w:w="1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4D998">
            <w:pPr>
              <w:rPr>
                <w:rFonts w:hint="eastAsia" w:ascii="宋体"/>
                <w:sz w:val="24"/>
                <w:szCs w:val="24"/>
              </w:rPr>
            </w:pPr>
          </w:p>
        </w:tc>
      </w:tr>
      <w:tr w14:paraId="622B3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EDC1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rPr>
            </w:pPr>
          </w:p>
        </w:tc>
        <w:tc>
          <w:tcPr>
            <w:tcW w:w="2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91C1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rPr>
            </w:pP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7FB6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rPr>
            </w:pP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B12BB">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E7E37">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4B38B">
            <w:pPr>
              <w:rPr>
                <w:rFonts w:hint="eastAsia" w:ascii="宋体"/>
                <w:sz w:val="24"/>
                <w:szCs w:val="24"/>
              </w:rPr>
            </w:pPr>
          </w:p>
        </w:tc>
      </w:tr>
    </w:tbl>
    <w:p w14:paraId="622060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p w14:paraId="3CC6D48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pPr>
      <w:r>
        <w:rPr>
          <w:rFonts w:hint="eastAsia" w:ascii="仿宋" w:hAnsi="仿宋" w:eastAsia="仿宋" w:cs="仿宋"/>
          <w:color w:val="000000"/>
          <w:sz w:val="21"/>
          <w:szCs w:val="21"/>
        </w:rPr>
        <w:t>附：</w:t>
      </w:r>
    </w:p>
    <w:p w14:paraId="7606820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表1：相关配置清单（样表，可单列且加盖公章）</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7"/>
        <w:gridCol w:w="895"/>
        <w:gridCol w:w="1366"/>
        <w:gridCol w:w="1285"/>
        <w:gridCol w:w="1014"/>
        <w:gridCol w:w="1963"/>
      </w:tblGrid>
      <w:tr w14:paraId="37A1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B02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4E31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DF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A428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1E6B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13E6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DFC3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77E1E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1249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9276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2C9B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5ABF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52EB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0EC1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2F03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11AB845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表2：配套耗材报价清单（样表，可单列且加盖公章）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2"/>
        <w:gridCol w:w="1364"/>
        <w:gridCol w:w="894"/>
        <w:gridCol w:w="1364"/>
        <w:gridCol w:w="1284"/>
        <w:gridCol w:w="1012"/>
        <w:gridCol w:w="1972"/>
      </w:tblGrid>
      <w:tr w14:paraId="31C0D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F35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96E4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耗材使用学科</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1F80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1BDA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33D6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0032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18E0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b/>
                <w:bCs/>
                <w:color w:val="000000"/>
                <w:sz w:val="21"/>
                <w:szCs w:val="21"/>
              </w:rPr>
              <w:t>经消毒合格后建议使用次数</w:t>
            </w:r>
          </w:p>
        </w:tc>
      </w:tr>
      <w:tr w14:paraId="7B135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F737">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9DD9">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AD79F">
            <w:pPr>
              <w:widowControl/>
              <w:jc w:val="cente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8DF9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CB48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17D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4B4D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r w14:paraId="6A9C4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CDEE">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1CF1">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C9A0E">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236E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570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E1BA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2590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r w14:paraId="0C285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9D76">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3</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88C3">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36FAD">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437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7C39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3BE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C9CD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r w14:paraId="44E35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DE1B">
            <w:pPr>
              <w:widowControl/>
              <w:jc w:val="center"/>
              <w:rPr>
                <w:rFonts w:hint="eastAsia" w:ascii="宋体" w:hAnsi="宋体" w:eastAsia="宋体" w:cs="宋体"/>
                <w:color w:val="000000"/>
                <w:kern w:val="0"/>
                <w:sz w:val="22"/>
                <w:szCs w:val="24"/>
                <w:lang w:val="en-US" w:eastAsia="zh-CN" w:bidi="ar-SA"/>
              </w:rPr>
            </w:pPr>
            <w:r>
              <w:rPr>
                <w:rFonts w:hint="eastAsia" w:ascii="宋体" w:hAnsi="宋体" w:eastAsia="宋体" w:cs="宋体"/>
                <w:color w:val="000000"/>
                <w:kern w:val="0"/>
                <w:sz w:val="22"/>
              </w:rPr>
              <w:t>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B7F4">
            <w:pPr>
              <w:widowControl/>
              <w:jc w:val="center"/>
              <w:rPr>
                <w:rFonts w:hint="eastAsia" w:ascii="宋体" w:hAnsi="宋体" w:eastAsia="宋体" w:cs="宋体"/>
                <w:b w:val="0"/>
                <w:bCs w:val="0"/>
                <w:color w:val="000000"/>
                <w:kern w:val="0"/>
                <w:sz w:val="20"/>
                <w:szCs w:val="21"/>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F2F02">
            <w:pPr>
              <w:widowControl/>
              <w:jc w:val="center"/>
              <w:rPr>
                <w:rFonts w:hint="eastAsia" w:ascii="等线" w:hAnsi="等线" w:eastAsia="等线" w:cs="等线"/>
                <w:color w:val="000000"/>
                <w:sz w:val="24"/>
                <w:szCs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86F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2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C71B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9AA8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1409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等线" w:hAnsi="等线" w:eastAsia="等线" w:cs="等线"/>
                <w:color w:val="000000"/>
                <w:sz w:val="24"/>
                <w:szCs w:val="24"/>
              </w:rPr>
            </w:pPr>
          </w:p>
        </w:tc>
      </w:tr>
    </w:tbl>
    <w:p w14:paraId="1C5CCB9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表3：配套试剂【单人次费用】报价清单（样表，可单列且加盖公章）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5"/>
        <w:gridCol w:w="1733"/>
        <w:gridCol w:w="1852"/>
        <w:gridCol w:w="1318"/>
        <w:gridCol w:w="991"/>
        <w:gridCol w:w="1993"/>
      </w:tblGrid>
      <w:tr w14:paraId="58E0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35B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22EC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7EFE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087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3640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30B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D222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907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8CAC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FE2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C84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C163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C894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0FCD50F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color w:val="000000"/>
          <w:sz w:val="21"/>
          <w:szCs w:val="21"/>
        </w:rPr>
        <w:t xml:space="preserve">表4：须定期更换零部件报价清单（样表，可单列且加盖公章）                           </w:t>
      </w:r>
    </w:p>
    <w:tbl>
      <w:tblPr>
        <w:tblStyle w:val="3"/>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4"/>
        <w:gridCol w:w="1730"/>
        <w:gridCol w:w="1848"/>
        <w:gridCol w:w="1338"/>
        <w:gridCol w:w="969"/>
        <w:gridCol w:w="2003"/>
      </w:tblGrid>
      <w:tr w14:paraId="2A5AD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FAF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953A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须定期更换零部件</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DAE0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品牌规格型号</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D5F4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价格（元/个）</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AD95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是否开放</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B27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249DA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DE3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0B49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E2A5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3BAA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9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539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c>
          <w:tcPr>
            <w:tcW w:w="20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4C32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等线" w:hAnsi="等线" w:eastAsia="等线" w:cs="等线"/>
                <w:color w:val="000000"/>
                <w:sz w:val="24"/>
                <w:szCs w:val="24"/>
              </w:rPr>
              <w:t> </w:t>
            </w:r>
          </w:p>
        </w:tc>
      </w:tr>
    </w:tbl>
    <w:p w14:paraId="7B83650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p w14:paraId="0EC44F07"/>
    <w:p w14:paraId="1BAD8B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840F4"/>
    <w:rsid w:val="38563D57"/>
    <w:rsid w:val="510658A8"/>
    <w:rsid w:val="617A782C"/>
    <w:rsid w:val="67B840F4"/>
    <w:rsid w:val="6A5E739B"/>
    <w:rsid w:val="7FA04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1761</Words>
  <Characters>1930</Characters>
  <Lines>0</Lines>
  <Paragraphs>0</Paragraphs>
  <TotalTime>0</TotalTime>
  <ScaleCrop>false</ScaleCrop>
  <LinksUpToDate>false</LinksUpToDate>
  <CharactersWithSpaces>2040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2026-06-01T00:55:00Z</dcterms:created>
  <dc:creator>光阳</dc:creator>
  <cp:lastModifiedBy>光阳</cp:lastModifiedBy>
  <dcterms:modified xsi:type="dcterms:W3CDTF">2026-08-14T06:42:30Z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EB2578F770FA41D0A40271A338F8C90F_11</vt:lpwstr>
  </property>
  <property fmtid="{D5CDD505-2E9C-101B-9397-08002B2CF9AE}" pid="4" name="KSOTemplateDocerSaveRecord">
    <vt:lpwstr>eyJoZGlkIjoiODI3MzIyYmQ2MDMwZTEzNzM4NGRlYjA3YjFhZjMyNzAiLCJ1c2VySWQiOiIyODA2MzM4NTgifQ==</vt:lpwstr>
  </property>
</Properties>
</file>